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70E" w:rsidRDefault="00F7570E" w:rsidP="00F7570E">
      <w:pPr>
        <w:pStyle w:val="Titre2"/>
      </w:pPr>
      <w:r>
        <w:t>De nombreuses actions éducatives autour des droits de l'enfant</w:t>
      </w:r>
    </w:p>
    <w:p w:rsidR="00F7570E" w:rsidRPr="006D02F9" w:rsidRDefault="00F7570E" w:rsidP="006D02F9">
      <w:pPr>
        <w:pStyle w:val="NormalWeb"/>
        <w:jc w:val="both"/>
      </w:pPr>
      <w:r w:rsidRPr="006D02F9">
        <w:t xml:space="preserve">Plusieurs actions menées par le ministère de </w:t>
      </w:r>
      <w:r w:rsidRPr="006D02F9">
        <w:rPr>
          <w:rStyle w:val="dar02js45p"/>
          <w:b/>
          <w:bCs/>
        </w:rPr>
        <w:t>l'éducation nationale</w:t>
      </w:r>
      <w:r w:rsidRPr="006D02F9">
        <w:t>, ou avec son soutien direct, sont en rapport avec les droits de l'enfant.</w:t>
      </w:r>
    </w:p>
    <w:p w:rsidR="00F7570E" w:rsidRPr="006D02F9" w:rsidRDefault="00F7570E" w:rsidP="006D02F9">
      <w:pPr>
        <w:pStyle w:val="Titre3"/>
        <w:jc w:val="both"/>
        <w:rPr>
          <w:rFonts w:ascii="Times New Roman" w:hAnsi="Times New Roman" w:cs="Times New Roman"/>
        </w:rPr>
      </w:pPr>
      <w:r w:rsidRPr="006D02F9">
        <w:rPr>
          <w:rFonts w:ascii="Times New Roman" w:hAnsi="Times New Roman" w:cs="Times New Roman"/>
        </w:rPr>
        <w:t>Le Prix des droits de l'homme - René Cassin</w:t>
      </w:r>
    </w:p>
    <w:tbl>
      <w:tblPr>
        <w:tblW w:w="0" w:type="auto"/>
        <w:tblCellSpacing w:w="15" w:type="dxa"/>
        <w:tblCellMar>
          <w:top w:w="15" w:type="dxa"/>
          <w:left w:w="15" w:type="dxa"/>
          <w:bottom w:w="15" w:type="dxa"/>
          <w:right w:w="15" w:type="dxa"/>
        </w:tblCellMar>
        <w:tblLook w:val="04A0"/>
      </w:tblPr>
      <w:tblGrid>
        <w:gridCol w:w="2355"/>
        <w:gridCol w:w="6807"/>
      </w:tblGrid>
      <w:tr w:rsidR="00F7570E" w:rsidRPr="006D02F9" w:rsidTr="00F7570E">
        <w:trPr>
          <w:tblCellSpacing w:w="15" w:type="dxa"/>
        </w:trPr>
        <w:tc>
          <w:tcPr>
            <w:tcW w:w="0" w:type="auto"/>
            <w:vAlign w:val="center"/>
            <w:hideMark/>
          </w:tcPr>
          <w:p w:rsidR="00F7570E" w:rsidRPr="006D02F9" w:rsidRDefault="00F7570E" w:rsidP="006D02F9">
            <w:pPr>
              <w:jc w:val="both"/>
              <w:rPr>
                <w:rFonts w:ascii="Times New Roman" w:hAnsi="Times New Roman" w:cs="Times New Roman"/>
                <w:sz w:val="24"/>
                <w:szCs w:val="24"/>
              </w:rPr>
            </w:pPr>
            <w:r w:rsidRPr="006D02F9">
              <w:rPr>
                <w:rFonts w:ascii="Times New Roman" w:hAnsi="Times New Roman" w:cs="Times New Roman"/>
                <w:noProof/>
                <w:lang w:eastAsia="fr-FR"/>
              </w:rPr>
              <w:drawing>
                <wp:inline distT="0" distB="0" distL="0" distR="0">
                  <wp:extent cx="1428750" cy="1438275"/>
                  <wp:effectExtent l="19050" t="0" r="0" b="0"/>
                  <wp:docPr id="3" name="Image 3" descr="médaille_Cassin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édaille_Cassin_2012"/>
                          <pic:cNvPicPr>
                            <a:picLocks noChangeAspect="1" noChangeArrowheads="1"/>
                          </pic:cNvPicPr>
                        </pic:nvPicPr>
                        <pic:blipFill>
                          <a:blip r:embed="rId5" cstate="print"/>
                          <a:srcRect/>
                          <a:stretch>
                            <a:fillRect/>
                          </a:stretch>
                        </pic:blipFill>
                        <pic:spPr bwMode="auto">
                          <a:xfrm>
                            <a:off x="0" y="0"/>
                            <a:ext cx="1428750" cy="1438275"/>
                          </a:xfrm>
                          <a:prstGeom prst="rect">
                            <a:avLst/>
                          </a:prstGeom>
                          <a:noFill/>
                          <a:ln w="9525">
                            <a:noFill/>
                            <a:miter lim="800000"/>
                            <a:headEnd/>
                            <a:tailEnd/>
                          </a:ln>
                        </pic:spPr>
                      </pic:pic>
                    </a:graphicData>
                  </a:graphic>
                </wp:inline>
              </w:drawing>
            </w:r>
          </w:p>
        </w:tc>
        <w:tc>
          <w:tcPr>
            <w:tcW w:w="0" w:type="auto"/>
            <w:vAlign w:val="center"/>
            <w:hideMark/>
          </w:tcPr>
          <w:p w:rsidR="00F7570E" w:rsidRPr="006D02F9" w:rsidRDefault="00F7570E" w:rsidP="006D02F9">
            <w:pPr>
              <w:jc w:val="both"/>
              <w:rPr>
                <w:rFonts w:ascii="Times New Roman" w:hAnsi="Times New Roman" w:cs="Times New Roman"/>
              </w:rPr>
            </w:pPr>
            <w:r w:rsidRPr="006D02F9">
              <w:rPr>
                <w:rFonts w:ascii="Times New Roman" w:hAnsi="Times New Roman" w:cs="Times New Roman"/>
              </w:rPr>
              <w:t xml:space="preserve">Ce prix récompense chaque année les meilleurs projets d'éducation à la citoyenneté et aux droits de l'homme réalisés par les collèges et les lycées. Cette action est menée avec la Commission nationale consultative des droits de l'homme (CNCDH). </w:t>
            </w:r>
          </w:p>
          <w:p w:rsidR="00F7570E" w:rsidRPr="006D02F9" w:rsidRDefault="00F7570E" w:rsidP="006D02F9">
            <w:pPr>
              <w:pStyle w:val="NormalWeb"/>
              <w:jc w:val="both"/>
            </w:pPr>
            <w:r w:rsidRPr="006D02F9">
              <w:t>À l'occasion de la session 2012-2013 du Prix des droits de l'homme - René Cassin, les élèves sont invités à travailler sur le thème des droits à l'expression, l'information et la participation des élèves et des jeunes, inscrits dans la Convention internationale des droits de l'enfant. L'UNICEF-</w:t>
            </w:r>
            <w:r w:rsidRPr="006D02F9">
              <w:rPr>
                <w:rStyle w:val="dar02js45p"/>
                <w:b/>
                <w:bCs/>
              </w:rPr>
              <w:t>France</w:t>
            </w:r>
            <w:r w:rsidRPr="006D02F9">
              <w:t xml:space="preserve"> mobilise l'ensemble de son réseau départemental pour soutenir cette action.</w:t>
            </w:r>
          </w:p>
          <w:p w:rsidR="00F7570E" w:rsidRPr="006D02F9" w:rsidRDefault="00F7570E" w:rsidP="006D02F9">
            <w:pPr>
              <w:pStyle w:val="NormalWeb"/>
              <w:jc w:val="both"/>
            </w:pPr>
            <w:r w:rsidRPr="006D02F9">
              <w:rPr>
                <w:b/>
                <w:bCs/>
              </w:rPr>
              <w:t>En savoir plus</w:t>
            </w:r>
            <w:r w:rsidRPr="006D02F9">
              <w:t xml:space="preserve"> :</w:t>
            </w:r>
          </w:p>
          <w:p w:rsidR="00F7570E" w:rsidRPr="006D02F9" w:rsidRDefault="008C0A9B" w:rsidP="006D02F9">
            <w:pPr>
              <w:pStyle w:val="NormalWeb"/>
              <w:jc w:val="both"/>
            </w:pPr>
            <w:hyperlink r:id="rId6" w:tgtFrame="_blank" w:history="1">
              <w:r w:rsidR="00F7570E" w:rsidRPr="006D02F9">
                <w:rPr>
                  <w:rStyle w:val="Lienhypertexte"/>
                </w:rPr>
                <w:t>Le Prix des droits de l'homme René Cassin</w:t>
              </w:r>
            </w:hyperlink>
          </w:p>
          <w:p w:rsidR="00F7570E" w:rsidRPr="006D02F9" w:rsidRDefault="008C0A9B" w:rsidP="006D02F9">
            <w:pPr>
              <w:pStyle w:val="NormalWeb"/>
              <w:jc w:val="both"/>
            </w:pPr>
            <w:hyperlink r:id="rId7" w:tgtFrame="_blank" w:history="1">
              <w:r w:rsidR="00F7570E" w:rsidRPr="006D02F9">
                <w:rPr>
                  <w:rStyle w:val="Lienhypertexte"/>
                </w:rPr>
                <w:t>Le site de la CNCDH </w:t>
              </w:r>
            </w:hyperlink>
          </w:p>
        </w:tc>
      </w:tr>
    </w:tbl>
    <w:p w:rsidR="00F7570E" w:rsidRDefault="00F7570E" w:rsidP="00F7570E">
      <w:pPr>
        <w:pStyle w:val="Titre3"/>
      </w:pPr>
      <w:r>
        <w:t>Le Concours d'affiches « Agis pour tes droits »</w:t>
      </w:r>
    </w:p>
    <w:tbl>
      <w:tblPr>
        <w:tblW w:w="0" w:type="auto"/>
        <w:tblCellSpacing w:w="15" w:type="dxa"/>
        <w:tblCellMar>
          <w:top w:w="15" w:type="dxa"/>
          <w:left w:w="15" w:type="dxa"/>
          <w:bottom w:w="15" w:type="dxa"/>
          <w:right w:w="15" w:type="dxa"/>
        </w:tblCellMar>
        <w:tblLook w:val="04A0"/>
      </w:tblPr>
      <w:tblGrid>
        <w:gridCol w:w="2805"/>
        <w:gridCol w:w="6357"/>
      </w:tblGrid>
      <w:tr w:rsidR="00F7570E" w:rsidTr="00F7570E">
        <w:trPr>
          <w:tblCellSpacing w:w="15" w:type="dxa"/>
        </w:trPr>
        <w:tc>
          <w:tcPr>
            <w:tcW w:w="0" w:type="auto"/>
            <w:vAlign w:val="center"/>
            <w:hideMark/>
          </w:tcPr>
          <w:p w:rsidR="00F7570E" w:rsidRDefault="00F7570E">
            <w:pPr>
              <w:rPr>
                <w:sz w:val="24"/>
                <w:szCs w:val="24"/>
              </w:rPr>
            </w:pPr>
            <w:r>
              <w:rPr>
                <w:noProof/>
                <w:lang w:eastAsia="fr-FR"/>
              </w:rPr>
              <w:drawing>
                <wp:inline distT="0" distB="0" distL="0" distR="0">
                  <wp:extent cx="1714500" cy="1143000"/>
                  <wp:effectExtent l="19050" t="0" r="0" b="0"/>
                  <wp:docPr id="4" name="Image 4" descr="agis_pour_tes_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is_pour_tes_droits"/>
                          <pic:cNvPicPr>
                            <a:picLocks noChangeAspect="1" noChangeArrowheads="1"/>
                          </pic:cNvPicPr>
                        </pic:nvPicPr>
                        <pic:blipFill>
                          <a:blip r:embed="rId8" cstate="print"/>
                          <a:srcRect/>
                          <a:stretch>
                            <a:fillRect/>
                          </a:stretch>
                        </pic:blipFill>
                        <pic:spPr bwMode="auto">
                          <a:xfrm>
                            <a:off x="0" y="0"/>
                            <a:ext cx="1714500" cy="1143000"/>
                          </a:xfrm>
                          <a:prstGeom prst="rect">
                            <a:avLst/>
                          </a:prstGeom>
                          <a:noFill/>
                          <a:ln w="9525">
                            <a:noFill/>
                            <a:miter lim="800000"/>
                            <a:headEnd/>
                            <a:tailEnd/>
                          </a:ln>
                        </pic:spPr>
                      </pic:pic>
                    </a:graphicData>
                  </a:graphic>
                </wp:inline>
              </w:drawing>
            </w:r>
          </w:p>
        </w:tc>
        <w:tc>
          <w:tcPr>
            <w:tcW w:w="0" w:type="auto"/>
            <w:vAlign w:val="center"/>
            <w:hideMark/>
          </w:tcPr>
          <w:p w:rsidR="00F7570E" w:rsidRDefault="00F7570E" w:rsidP="006D02F9">
            <w:pPr>
              <w:pStyle w:val="NormalWeb"/>
              <w:jc w:val="both"/>
            </w:pPr>
            <w:r>
              <w:t xml:space="preserve">Organisé par les </w:t>
            </w:r>
            <w:proofErr w:type="spellStart"/>
            <w:r>
              <w:t>Francas</w:t>
            </w:r>
            <w:proofErr w:type="spellEnd"/>
            <w:r>
              <w:t xml:space="preserve">, ce </w:t>
            </w:r>
            <w:r>
              <w:rPr>
                <w:rStyle w:val="dar02js45p"/>
                <w:b/>
                <w:bCs/>
              </w:rPr>
              <w:t>concours</w:t>
            </w:r>
            <w:r>
              <w:t xml:space="preserve"> propose aux élèves de réaliser une affiche portant sur les droits de l'enfant. Il permet aux élèves de découvrir ou de redécouvrir le texte de la convention des droits de l'enfant mais aussi d'exprimer leur avis et d'en débattre entre eux.</w:t>
            </w:r>
          </w:p>
          <w:p w:rsidR="00F7570E" w:rsidRDefault="00F7570E">
            <w:pPr>
              <w:pStyle w:val="NormalWeb"/>
            </w:pPr>
            <w:r>
              <w:rPr>
                <w:b/>
                <w:bCs/>
              </w:rPr>
              <w:t>En savoir plus</w:t>
            </w:r>
            <w:r>
              <w:t xml:space="preserve"> :</w:t>
            </w:r>
          </w:p>
          <w:p w:rsidR="00F7570E" w:rsidRDefault="008C0A9B">
            <w:pPr>
              <w:pStyle w:val="NormalWeb"/>
            </w:pPr>
            <w:hyperlink r:id="rId9" w:tgtFrame="_blank" w:history="1">
              <w:r w:rsidR="00F7570E">
                <w:rPr>
                  <w:rStyle w:val="Lienhypertexte"/>
                </w:rPr>
                <w:t>Le concours « Agis pour tes droits »</w:t>
              </w:r>
            </w:hyperlink>
          </w:p>
          <w:p w:rsidR="00F7570E" w:rsidRDefault="008C0A9B">
            <w:pPr>
              <w:pStyle w:val="NormalWeb"/>
            </w:pPr>
            <w:hyperlink r:id="rId10" w:tgtFrame="_blank" w:history="1">
              <w:r w:rsidR="00F7570E">
                <w:rPr>
                  <w:rStyle w:val="Lienhypertexte"/>
                </w:rPr>
                <w:t xml:space="preserve">Le site des </w:t>
              </w:r>
              <w:proofErr w:type="spellStart"/>
              <w:r w:rsidR="00F7570E">
                <w:rPr>
                  <w:rStyle w:val="Lienhypertexte"/>
                </w:rPr>
                <w:t>Francas</w:t>
              </w:r>
              <w:proofErr w:type="spellEnd"/>
            </w:hyperlink>
            <w:r w:rsidR="00F7570E">
              <w:t> </w:t>
            </w:r>
          </w:p>
          <w:p w:rsidR="00585664" w:rsidRPr="00585664" w:rsidRDefault="00585664" w:rsidP="00585664">
            <w:pPr>
              <w:pStyle w:val="NormalWeb"/>
              <w:jc w:val="both"/>
              <w:rPr>
                <w:sz w:val="18"/>
                <w:szCs w:val="18"/>
              </w:rPr>
            </w:pPr>
            <w:r w:rsidRPr="00585664">
              <w:rPr>
                <w:b/>
                <w:bCs/>
                <w:sz w:val="18"/>
                <w:szCs w:val="18"/>
              </w:rPr>
              <w:t xml:space="preserve">La Fédération nationale des </w:t>
            </w:r>
            <w:proofErr w:type="spellStart"/>
            <w:r w:rsidRPr="00585664">
              <w:rPr>
                <w:b/>
                <w:bCs/>
                <w:sz w:val="18"/>
                <w:szCs w:val="18"/>
              </w:rPr>
              <w:t>Francas</w:t>
            </w:r>
            <w:proofErr w:type="spellEnd"/>
            <w:r w:rsidRPr="00585664">
              <w:rPr>
                <w:sz w:val="18"/>
                <w:szCs w:val="18"/>
              </w:rPr>
              <w:t xml:space="preserve"> est un mouvement d'</w:t>
            </w:r>
            <w:hyperlink r:id="rId11" w:tooltip="Éducation populaire" w:history="1">
              <w:r w:rsidRPr="00585664">
                <w:rPr>
                  <w:rStyle w:val="Lienhypertexte"/>
                  <w:color w:val="auto"/>
                  <w:sz w:val="18"/>
                  <w:szCs w:val="18"/>
                  <w:u w:val="none"/>
                </w:rPr>
                <w:t>éducation populaire</w:t>
              </w:r>
            </w:hyperlink>
            <w:r w:rsidRPr="00585664">
              <w:rPr>
                <w:sz w:val="18"/>
                <w:szCs w:val="18"/>
              </w:rPr>
              <w:t xml:space="preserve"> créé en </w:t>
            </w:r>
            <w:hyperlink r:id="rId12" w:tooltip="1944" w:history="1">
              <w:r w:rsidRPr="00585664">
                <w:rPr>
                  <w:rStyle w:val="Lienhypertexte"/>
                  <w:color w:val="auto"/>
                  <w:sz w:val="18"/>
                  <w:szCs w:val="18"/>
                  <w:u w:val="none"/>
                </w:rPr>
                <w:t>1944</w:t>
              </w:r>
            </w:hyperlink>
            <w:r w:rsidRPr="00585664">
              <w:rPr>
                <w:sz w:val="18"/>
                <w:szCs w:val="18"/>
              </w:rPr>
              <w:t xml:space="preserve"> par des militants provenant des </w:t>
            </w:r>
            <w:hyperlink r:id="rId13" w:tooltip="Éclaireuses éclaireurs de France" w:history="1">
              <w:r w:rsidRPr="00585664">
                <w:rPr>
                  <w:rStyle w:val="Lienhypertexte"/>
                  <w:color w:val="auto"/>
                  <w:sz w:val="18"/>
                  <w:szCs w:val="18"/>
                  <w:u w:val="none"/>
                </w:rPr>
                <w:t>Éclaireuses éclaireurs de France</w:t>
              </w:r>
            </w:hyperlink>
            <w:r w:rsidRPr="00585664">
              <w:rPr>
                <w:sz w:val="18"/>
                <w:szCs w:val="18"/>
              </w:rPr>
              <w:t xml:space="preserve">, des </w:t>
            </w:r>
            <w:hyperlink r:id="rId14" w:tooltip="Centre d'entraînement aux méthodes d'éducation active" w:history="1">
              <w:proofErr w:type="spellStart"/>
              <w:r w:rsidRPr="00585664">
                <w:rPr>
                  <w:rStyle w:val="Lienhypertexte"/>
                  <w:color w:val="auto"/>
                  <w:sz w:val="18"/>
                  <w:szCs w:val="18"/>
                  <w:u w:val="none"/>
                </w:rPr>
                <w:t>Ceméa</w:t>
              </w:r>
              <w:proofErr w:type="spellEnd"/>
            </w:hyperlink>
            <w:r w:rsidRPr="00585664">
              <w:rPr>
                <w:sz w:val="18"/>
                <w:szCs w:val="18"/>
              </w:rPr>
              <w:t xml:space="preserve"> et des Auberges de Jeunesse.</w:t>
            </w:r>
          </w:p>
          <w:p w:rsidR="00585664" w:rsidRPr="00585664" w:rsidRDefault="00585664" w:rsidP="00585664">
            <w:pPr>
              <w:spacing w:before="100" w:beforeAutospacing="1" w:after="100" w:afterAutospacing="1" w:line="240" w:lineRule="auto"/>
              <w:jc w:val="both"/>
              <w:rPr>
                <w:rFonts w:ascii="Times New Roman" w:eastAsia="Times New Roman" w:hAnsi="Times New Roman" w:cs="Times New Roman"/>
                <w:sz w:val="18"/>
                <w:szCs w:val="18"/>
                <w:lang w:eastAsia="fr-FR"/>
              </w:rPr>
            </w:pPr>
            <w:r w:rsidRPr="00585664">
              <w:rPr>
                <w:rFonts w:ascii="Times New Roman" w:eastAsia="Times New Roman" w:hAnsi="Times New Roman" w:cs="Times New Roman"/>
                <w:sz w:val="18"/>
                <w:szCs w:val="18"/>
                <w:lang w:eastAsia="fr-FR"/>
              </w:rPr>
              <w:t>C'est une Fédération Nationale Laïque de structures et d'activités éducatives sociales et culturelles. Ils constituent un mouvement d'éducation populaire qui a pour but :</w:t>
            </w:r>
          </w:p>
          <w:p w:rsidR="00585664" w:rsidRPr="00585664" w:rsidRDefault="00585664" w:rsidP="00585664">
            <w:pPr>
              <w:numPr>
                <w:ilvl w:val="0"/>
                <w:numId w:val="2"/>
              </w:numPr>
              <w:spacing w:before="100" w:beforeAutospacing="1" w:after="100" w:afterAutospacing="1" w:line="240" w:lineRule="auto"/>
              <w:jc w:val="both"/>
              <w:rPr>
                <w:rFonts w:ascii="Times New Roman" w:eastAsia="Times New Roman" w:hAnsi="Times New Roman" w:cs="Times New Roman"/>
                <w:sz w:val="18"/>
                <w:szCs w:val="18"/>
                <w:lang w:eastAsia="fr-FR"/>
              </w:rPr>
            </w:pPr>
            <w:r w:rsidRPr="00585664">
              <w:rPr>
                <w:rFonts w:ascii="Times New Roman" w:eastAsia="Times New Roman" w:hAnsi="Times New Roman" w:cs="Times New Roman"/>
                <w:sz w:val="18"/>
                <w:szCs w:val="18"/>
                <w:lang w:eastAsia="fr-FR"/>
              </w:rPr>
              <w:t>de promouvoir la place que tous les enfants doivent avoir dans la société, de développer des projets d'accueil et d'activités à leur intention,</w:t>
            </w:r>
          </w:p>
          <w:p w:rsidR="00585664" w:rsidRPr="00585664" w:rsidRDefault="00585664" w:rsidP="00585664">
            <w:pPr>
              <w:numPr>
                <w:ilvl w:val="0"/>
                <w:numId w:val="2"/>
              </w:numPr>
              <w:spacing w:before="100" w:beforeAutospacing="1" w:after="100" w:afterAutospacing="1" w:line="240" w:lineRule="auto"/>
              <w:jc w:val="both"/>
              <w:rPr>
                <w:rFonts w:ascii="Times New Roman" w:eastAsia="Times New Roman" w:hAnsi="Times New Roman" w:cs="Times New Roman"/>
                <w:sz w:val="18"/>
                <w:szCs w:val="18"/>
                <w:lang w:eastAsia="fr-FR"/>
              </w:rPr>
            </w:pPr>
            <w:r w:rsidRPr="00585664">
              <w:rPr>
                <w:rFonts w:ascii="Times New Roman" w:eastAsia="Times New Roman" w:hAnsi="Times New Roman" w:cs="Times New Roman"/>
                <w:sz w:val="18"/>
                <w:szCs w:val="18"/>
                <w:lang w:eastAsia="fr-FR"/>
              </w:rPr>
              <w:t>de rassembler les différents acteurs de l'éducation qui adhèrent à leur projet et, plus largement, participent à leurs actions,</w:t>
            </w:r>
          </w:p>
          <w:p w:rsidR="00585664" w:rsidRPr="00585664" w:rsidRDefault="00585664" w:rsidP="0058566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585664">
              <w:rPr>
                <w:rFonts w:ascii="Times New Roman" w:eastAsia="Times New Roman" w:hAnsi="Times New Roman" w:cs="Times New Roman"/>
                <w:sz w:val="18"/>
                <w:szCs w:val="18"/>
                <w:lang w:eastAsia="fr-FR"/>
              </w:rPr>
              <w:t>de fédérer les centres et structures de loisirs répondant aux besoins des enfants et des familles.</w:t>
            </w:r>
          </w:p>
        </w:tc>
      </w:tr>
    </w:tbl>
    <w:p w:rsidR="00F7570E" w:rsidRDefault="00F7570E" w:rsidP="00F7570E">
      <w:pPr>
        <w:pStyle w:val="Titre3"/>
      </w:pPr>
      <w:r>
        <w:lastRenderedPageBreak/>
        <w:t>Les « Itinéraires de citoyenneté »</w:t>
      </w:r>
    </w:p>
    <w:tbl>
      <w:tblPr>
        <w:tblW w:w="0" w:type="auto"/>
        <w:tblCellSpacing w:w="15" w:type="dxa"/>
        <w:tblCellMar>
          <w:top w:w="15" w:type="dxa"/>
          <w:left w:w="15" w:type="dxa"/>
          <w:bottom w:w="15" w:type="dxa"/>
          <w:right w:w="15" w:type="dxa"/>
        </w:tblCellMar>
        <w:tblLook w:val="04A0"/>
      </w:tblPr>
      <w:tblGrid>
        <w:gridCol w:w="2805"/>
        <w:gridCol w:w="6357"/>
      </w:tblGrid>
      <w:tr w:rsidR="00F7570E" w:rsidTr="00F7570E">
        <w:trPr>
          <w:tblCellSpacing w:w="15" w:type="dxa"/>
        </w:trPr>
        <w:tc>
          <w:tcPr>
            <w:tcW w:w="0" w:type="auto"/>
            <w:vAlign w:val="center"/>
            <w:hideMark/>
          </w:tcPr>
          <w:p w:rsidR="00F7570E" w:rsidRDefault="00F7570E" w:rsidP="006D02F9">
            <w:pPr>
              <w:jc w:val="both"/>
              <w:rPr>
                <w:sz w:val="24"/>
                <w:szCs w:val="24"/>
              </w:rPr>
            </w:pPr>
            <w:r>
              <w:rPr>
                <w:noProof/>
                <w:lang w:eastAsia="fr-FR"/>
              </w:rPr>
              <w:drawing>
                <wp:inline distT="0" distB="0" distL="0" distR="0">
                  <wp:extent cx="1714500" cy="1228725"/>
                  <wp:effectExtent l="19050" t="0" r="0" b="0"/>
                  <wp:docPr id="5" name="Image 5" descr="logo_itinéraires_de_citoyenne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itinéraires_de_citoyenneté"/>
                          <pic:cNvPicPr>
                            <a:picLocks noChangeAspect="1" noChangeArrowheads="1"/>
                          </pic:cNvPicPr>
                        </pic:nvPicPr>
                        <pic:blipFill>
                          <a:blip r:embed="rId15" cstate="print"/>
                          <a:srcRect/>
                          <a:stretch>
                            <a:fillRect/>
                          </a:stretch>
                        </pic:blipFill>
                        <pic:spPr bwMode="auto">
                          <a:xfrm>
                            <a:off x="0" y="0"/>
                            <a:ext cx="1714500" cy="1228725"/>
                          </a:xfrm>
                          <a:prstGeom prst="rect">
                            <a:avLst/>
                          </a:prstGeom>
                          <a:noFill/>
                          <a:ln w="9525">
                            <a:noFill/>
                            <a:miter lim="800000"/>
                            <a:headEnd/>
                            <a:tailEnd/>
                          </a:ln>
                        </pic:spPr>
                      </pic:pic>
                    </a:graphicData>
                  </a:graphic>
                </wp:inline>
              </w:drawing>
            </w:r>
          </w:p>
        </w:tc>
        <w:tc>
          <w:tcPr>
            <w:tcW w:w="0" w:type="auto"/>
            <w:vAlign w:val="center"/>
            <w:hideMark/>
          </w:tcPr>
          <w:p w:rsidR="00F7570E" w:rsidRDefault="00F7570E" w:rsidP="006D02F9">
            <w:pPr>
              <w:pStyle w:val="NormalWeb"/>
              <w:jc w:val="both"/>
            </w:pPr>
            <w:r>
              <w:t>Dans le cadre des "Itinéraires de citoyenneté", l'association « Civisme et démocratie » (</w:t>
            </w:r>
            <w:proofErr w:type="spellStart"/>
            <w:r>
              <w:t>Cidem</w:t>
            </w:r>
            <w:proofErr w:type="spellEnd"/>
            <w:r>
              <w:t xml:space="preserve">) organise des actions de sensibilisation et met des </w:t>
            </w:r>
            <w:r>
              <w:rPr>
                <w:rStyle w:val="dar02js45p"/>
                <w:b/>
                <w:bCs/>
              </w:rPr>
              <w:t>ressources pédagogiques</w:t>
            </w:r>
            <w:r>
              <w:t xml:space="preserve"> à disposition des enseignants et des élèves qui souhaitent s'investir dans ces manifestations.</w:t>
            </w:r>
          </w:p>
          <w:p w:rsidR="00F7570E" w:rsidRDefault="00F7570E" w:rsidP="006D02F9">
            <w:pPr>
              <w:pStyle w:val="NormalWeb"/>
              <w:jc w:val="both"/>
            </w:pPr>
            <w:r>
              <w:rPr>
                <w:b/>
                <w:bCs/>
              </w:rPr>
              <w:t>En savoir plus</w:t>
            </w:r>
            <w:r>
              <w:t xml:space="preserve"> :</w:t>
            </w:r>
          </w:p>
          <w:p w:rsidR="00F7570E" w:rsidRDefault="008C0A9B" w:rsidP="006D02F9">
            <w:pPr>
              <w:pStyle w:val="NormalWeb"/>
              <w:jc w:val="both"/>
            </w:pPr>
            <w:hyperlink r:id="rId16" w:tgtFrame="_blank" w:history="1">
              <w:r w:rsidR="00F7570E">
                <w:rPr>
                  <w:rStyle w:val="Lienhypertexte"/>
                </w:rPr>
                <w:t>Les « Itinéraires de citoyenneté » dédiés aux droits de l'enfant</w:t>
              </w:r>
            </w:hyperlink>
          </w:p>
          <w:p w:rsidR="00F7570E" w:rsidRDefault="008C0A9B" w:rsidP="006D02F9">
            <w:pPr>
              <w:pStyle w:val="NormalWeb"/>
              <w:jc w:val="both"/>
            </w:pPr>
            <w:hyperlink r:id="rId17" w:tgtFrame="_blank" w:history="1">
              <w:r w:rsidR="00F7570E">
                <w:rPr>
                  <w:rStyle w:val="Lienhypertexte"/>
                </w:rPr>
                <w:t>Le site du CIDEM</w:t>
              </w:r>
            </w:hyperlink>
          </w:p>
        </w:tc>
      </w:tr>
    </w:tbl>
    <w:p w:rsidR="00F7570E" w:rsidRDefault="00F7570E" w:rsidP="006D02F9">
      <w:pPr>
        <w:pStyle w:val="Titre3"/>
        <w:jc w:val="both"/>
      </w:pPr>
      <w:r>
        <w:t>Les actions menées par le COFRADE</w:t>
      </w:r>
    </w:p>
    <w:tbl>
      <w:tblPr>
        <w:tblW w:w="0" w:type="auto"/>
        <w:tblCellSpacing w:w="15" w:type="dxa"/>
        <w:tblCellMar>
          <w:top w:w="15" w:type="dxa"/>
          <w:left w:w="15" w:type="dxa"/>
          <w:bottom w:w="15" w:type="dxa"/>
          <w:right w:w="15" w:type="dxa"/>
        </w:tblCellMar>
        <w:tblLook w:val="04A0"/>
      </w:tblPr>
      <w:tblGrid>
        <w:gridCol w:w="2355"/>
        <w:gridCol w:w="6807"/>
      </w:tblGrid>
      <w:tr w:rsidR="00F7570E" w:rsidTr="00F7570E">
        <w:trPr>
          <w:tblCellSpacing w:w="15" w:type="dxa"/>
        </w:trPr>
        <w:tc>
          <w:tcPr>
            <w:tcW w:w="0" w:type="auto"/>
            <w:vAlign w:val="center"/>
            <w:hideMark/>
          </w:tcPr>
          <w:p w:rsidR="00F7570E" w:rsidRDefault="00F7570E" w:rsidP="006D02F9">
            <w:pPr>
              <w:jc w:val="both"/>
              <w:rPr>
                <w:sz w:val="24"/>
                <w:szCs w:val="24"/>
              </w:rPr>
            </w:pPr>
            <w:r>
              <w:rPr>
                <w:noProof/>
                <w:lang w:eastAsia="fr-FR"/>
              </w:rPr>
              <w:drawing>
                <wp:inline distT="0" distB="0" distL="0" distR="0">
                  <wp:extent cx="1428750" cy="1362075"/>
                  <wp:effectExtent l="19050" t="0" r="0" b="0"/>
                  <wp:docPr id="6" name="Image 6" descr="logo_cof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cofrade"/>
                          <pic:cNvPicPr>
                            <a:picLocks noChangeAspect="1" noChangeArrowheads="1"/>
                          </pic:cNvPicPr>
                        </pic:nvPicPr>
                        <pic:blipFill>
                          <a:blip r:embed="rId18" cstate="print"/>
                          <a:srcRect/>
                          <a:stretch>
                            <a:fillRect/>
                          </a:stretch>
                        </pic:blipFill>
                        <pic:spPr bwMode="auto">
                          <a:xfrm>
                            <a:off x="0" y="0"/>
                            <a:ext cx="1428750" cy="1362075"/>
                          </a:xfrm>
                          <a:prstGeom prst="rect">
                            <a:avLst/>
                          </a:prstGeom>
                          <a:noFill/>
                          <a:ln w="9525">
                            <a:noFill/>
                            <a:miter lim="800000"/>
                            <a:headEnd/>
                            <a:tailEnd/>
                          </a:ln>
                        </pic:spPr>
                      </pic:pic>
                    </a:graphicData>
                  </a:graphic>
                </wp:inline>
              </w:drawing>
            </w:r>
          </w:p>
        </w:tc>
        <w:tc>
          <w:tcPr>
            <w:tcW w:w="0" w:type="auto"/>
            <w:vAlign w:val="center"/>
            <w:hideMark/>
          </w:tcPr>
          <w:p w:rsidR="00F7570E" w:rsidRDefault="00F7570E" w:rsidP="006D02F9">
            <w:pPr>
              <w:pStyle w:val="NormalWeb"/>
              <w:jc w:val="both"/>
            </w:pPr>
            <w:r>
              <w:t>Le COFRADE (Conseil français des associations pour les droits de l'enfant) veille depuis 1990 à l'application en France de la Convention des droits de l'enfant. Il organise de nombreux débats sur le sujet. Le COFRADE élabore et remet périodiquement un rapport sur l'application des droits de l'enfant en France au Comité des droits de l'enfant de l'ONU, parallèlement au rapport officiel du gouvernement français. Le dernier rapport du COFRADE a été remis en novembre 2012.</w:t>
            </w:r>
          </w:p>
          <w:p w:rsidR="00F7570E" w:rsidRDefault="00F7570E" w:rsidP="006D02F9">
            <w:pPr>
              <w:pStyle w:val="NormalWeb"/>
              <w:jc w:val="both"/>
            </w:pPr>
            <w:r>
              <w:rPr>
                <w:b/>
                <w:bCs/>
              </w:rPr>
              <w:t>En savoir plus</w:t>
            </w:r>
            <w:r>
              <w:t xml:space="preserve"> :</w:t>
            </w:r>
          </w:p>
          <w:p w:rsidR="00F7570E" w:rsidRDefault="008C0A9B" w:rsidP="006D02F9">
            <w:pPr>
              <w:pStyle w:val="NormalWeb"/>
              <w:jc w:val="both"/>
            </w:pPr>
            <w:hyperlink r:id="rId19" w:tgtFrame="_blank" w:history="1">
              <w:r w:rsidR="00F7570E">
                <w:rPr>
                  <w:rStyle w:val="Lienhypertexte"/>
                </w:rPr>
                <w:t>Les actions du COFRADE</w:t>
              </w:r>
            </w:hyperlink>
          </w:p>
        </w:tc>
      </w:tr>
    </w:tbl>
    <w:p w:rsidR="00F7570E" w:rsidRDefault="00F7570E" w:rsidP="006D02F9">
      <w:pPr>
        <w:pStyle w:val="Titre3"/>
        <w:jc w:val="both"/>
      </w:pPr>
      <w:r>
        <w:t> La Campagne de solidarité et de citoyenneté de la Jeunesse au Plein Air (JPA)</w:t>
      </w:r>
    </w:p>
    <w:tbl>
      <w:tblPr>
        <w:tblW w:w="0" w:type="auto"/>
        <w:tblCellSpacing w:w="15" w:type="dxa"/>
        <w:tblCellMar>
          <w:top w:w="15" w:type="dxa"/>
          <w:left w:w="15" w:type="dxa"/>
          <w:bottom w:w="15" w:type="dxa"/>
          <w:right w:w="15" w:type="dxa"/>
        </w:tblCellMar>
        <w:tblLook w:val="04A0"/>
      </w:tblPr>
      <w:tblGrid>
        <w:gridCol w:w="2355"/>
        <w:gridCol w:w="6807"/>
      </w:tblGrid>
      <w:tr w:rsidR="00F7570E" w:rsidTr="00F7570E">
        <w:trPr>
          <w:tblCellSpacing w:w="15" w:type="dxa"/>
        </w:trPr>
        <w:tc>
          <w:tcPr>
            <w:tcW w:w="0" w:type="auto"/>
            <w:vAlign w:val="center"/>
            <w:hideMark/>
          </w:tcPr>
          <w:p w:rsidR="00F7570E" w:rsidRDefault="00F7570E" w:rsidP="006D02F9">
            <w:pPr>
              <w:jc w:val="both"/>
              <w:rPr>
                <w:sz w:val="24"/>
                <w:szCs w:val="24"/>
              </w:rPr>
            </w:pPr>
            <w:r>
              <w:rPr>
                <w:noProof/>
                <w:lang w:eastAsia="fr-FR"/>
              </w:rPr>
              <w:drawing>
                <wp:inline distT="0" distB="0" distL="0" distR="0">
                  <wp:extent cx="1428750" cy="1323975"/>
                  <wp:effectExtent l="19050" t="0" r="0" b="0"/>
                  <wp:docPr id="7" name="Image 7" descr="jeunesses_au_plein_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unesses_au_plein_air"/>
                          <pic:cNvPicPr>
                            <a:picLocks noChangeAspect="1" noChangeArrowheads="1"/>
                          </pic:cNvPicPr>
                        </pic:nvPicPr>
                        <pic:blipFill>
                          <a:blip r:embed="rId20" cstate="print"/>
                          <a:srcRect/>
                          <a:stretch>
                            <a:fillRect/>
                          </a:stretch>
                        </pic:blipFill>
                        <pic:spPr bwMode="auto">
                          <a:xfrm>
                            <a:off x="0" y="0"/>
                            <a:ext cx="1428750" cy="1323975"/>
                          </a:xfrm>
                          <a:prstGeom prst="rect">
                            <a:avLst/>
                          </a:prstGeom>
                          <a:noFill/>
                          <a:ln w="9525">
                            <a:noFill/>
                            <a:miter lim="800000"/>
                            <a:headEnd/>
                            <a:tailEnd/>
                          </a:ln>
                        </pic:spPr>
                      </pic:pic>
                    </a:graphicData>
                  </a:graphic>
                </wp:inline>
              </w:drawing>
            </w:r>
          </w:p>
        </w:tc>
        <w:tc>
          <w:tcPr>
            <w:tcW w:w="0" w:type="auto"/>
            <w:vAlign w:val="center"/>
            <w:hideMark/>
          </w:tcPr>
          <w:p w:rsidR="00F7570E" w:rsidRDefault="00F7570E" w:rsidP="006D02F9">
            <w:pPr>
              <w:pStyle w:val="NormalWeb"/>
              <w:jc w:val="both"/>
            </w:pPr>
            <w:r>
              <w:t xml:space="preserve">L'objectif de cette campagne est de sensibiliser les enfants au droit aux vacances. Chaque année, en s'appuyant sur les </w:t>
            </w:r>
            <w:r>
              <w:rPr>
                <w:rStyle w:val="dar02js45p"/>
                <w:b/>
                <w:bCs/>
              </w:rPr>
              <w:t>outils pédagogiques</w:t>
            </w:r>
            <w:r>
              <w:t xml:space="preserve"> réalisés par la JPA, les équipes éducatives des écoles, des collèges et des lycées peuvent sensibiliser leurs élèves aux inégalités existant dans ce domaine et, en les associant à cette campagne, leur faire découvrir ce qu'est une action collective menée dans le domaine de la solidarité.</w:t>
            </w:r>
          </w:p>
          <w:p w:rsidR="00F7570E" w:rsidRDefault="00F7570E" w:rsidP="006D02F9">
            <w:pPr>
              <w:pStyle w:val="NormalWeb"/>
              <w:jc w:val="both"/>
            </w:pPr>
            <w:r>
              <w:rPr>
                <w:b/>
                <w:bCs/>
              </w:rPr>
              <w:t>En savoir plus</w:t>
            </w:r>
            <w:r>
              <w:t xml:space="preserve"> :</w:t>
            </w:r>
          </w:p>
          <w:p w:rsidR="00F7570E" w:rsidRDefault="008C0A9B" w:rsidP="006D02F9">
            <w:pPr>
              <w:pStyle w:val="NormalWeb"/>
              <w:jc w:val="both"/>
            </w:pPr>
            <w:hyperlink r:id="rId21" w:tgtFrame="_blank" w:history="1">
              <w:r w:rsidR="00F7570E">
                <w:rPr>
                  <w:rStyle w:val="Lienhypertexte"/>
                </w:rPr>
                <w:t>La campagne de solidarité et de citoyenneté de la JPA</w:t>
              </w:r>
            </w:hyperlink>
          </w:p>
          <w:p w:rsidR="00F7570E" w:rsidRDefault="008C0A9B" w:rsidP="006D02F9">
            <w:pPr>
              <w:pStyle w:val="NormalWeb"/>
              <w:jc w:val="both"/>
            </w:pPr>
            <w:hyperlink r:id="rId22" w:tgtFrame="_blank" w:history="1">
              <w:r w:rsidR="00F7570E">
                <w:rPr>
                  <w:rStyle w:val="Lienhypertexte"/>
                </w:rPr>
                <w:t>Le site de la JPA</w:t>
              </w:r>
            </w:hyperlink>
          </w:p>
        </w:tc>
      </w:tr>
    </w:tbl>
    <w:p w:rsidR="00F7570E" w:rsidRDefault="00F7570E" w:rsidP="00F7570E">
      <w:pPr>
        <w:pStyle w:val="Titre3"/>
      </w:pPr>
      <w:r>
        <w:lastRenderedPageBreak/>
        <w:t>La campagne « Pas d'éducation, pas d'avenir ! » de la Ligue</w:t>
      </w:r>
    </w:p>
    <w:tbl>
      <w:tblPr>
        <w:tblW w:w="0" w:type="auto"/>
        <w:tblCellSpacing w:w="15" w:type="dxa"/>
        <w:tblCellMar>
          <w:top w:w="15" w:type="dxa"/>
          <w:left w:w="15" w:type="dxa"/>
          <w:bottom w:w="15" w:type="dxa"/>
          <w:right w:w="15" w:type="dxa"/>
        </w:tblCellMar>
        <w:tblLook w:val="04A0"/>
      </w:tblPr>
      <w:tblGrid>
        <w:gridCol w:w="2355"/>
        <w:gridCol w:w="6807"/>
      </w:tblGrid>
      <w:tr w:rsidR="00F7570E" w:rsidTr="00F7570E">
        <w:trPr>
          <w:tblCellSpacing w:w="15" w:type="dxa"/>
        </w:trPr>
        <w:tc>
          <w:tcPr>
            <w:tcW w:w="0" w:type="auto"/>
            <w:vAlign w:val="center"/>
            <w:hideMark/>
          </w:tcPr>
          <w:p w:rsidR="00F7570E" w:rsidRDefault="00F7570E" w:rsidP="006D02F9">
            <w:pPr>
              <w:jc w:val="both"/>
              <w:rPr>
                <w:sz w:val="24"/>
                <w:szCs w:val="24"/>
              </w:rPr>
            </w:pPr>
            <w:r>
              <w:rPr>
                <w:noProof/>
                <w:lang w:eastAsia="fr-FR"/>
              </w:rPr>
              <w:drawing>
                <wp:inline distT="0" distB="0" distL="0" distR="0">
                  <wp:extent cx="1428750" cy="2143125"/>
                  <wp:effectExtent l="19050" t="0" r="0" b="0"/>
                  <wp:docPr id="8" name="Image 8" descr="affiche_pas_d-éducation_pas_d-a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_pas_d-éducation_pas_d-avenir"/>
                          <pic:cNvPicPr>
                            <a:picLocks noChangeAspect="1" noChangeArrowheads="1"/>
                          </pic:cNvPicPr>
                        </pic:nvPicPr>
                        <pic:blipFill>
                          <a:blip r:embed="rId23" cstate="print"/>
                          <a:srcRect/>
                          <a:stretch>
                            <a:fillRect/>
                          </a:stretch>
                        </pic:blipFill>
                        <pic:spPr bwMode="auto">
                          <a:xfrm>
                            <a:off x="0" y="0"/>
                            <a:ext cx="1428750" cy="2143125"/>
                          </a:xfrm>
                          <a:prstGeom prst="rect">
                            <a:avLst/>
                          </a:prstGeom>
                          <a:noFill/>
                          <a:ln w="9525">
                            <a:noFill/>
                            <a:miter lim="800000"/>
                            <a:headEnd/>
                            <a:tailEnd/>
                          </a:ln>
                        </pic:spPr>
                      </pic:pic>
                    </a:graphicData>
                  </a:graphic>
                </wp:inline>
              </w:drawing>
            </w:r>
          </w:p>
        </w:tc>
        <w:tc>
          <w:tcPr>
            <w:tcW w:w="0" w:type="auto"/>
            <w:vAlign w:val="center"/>
            <w:hideMark/>
          </w:tcPr>
          <w:p w:rsidR="00F7570E" w:rsidRDefault="00F7570E" w:rsidP="006D02F9">
            <w:pPr>
              <w:pStyle w:val="NormalWeb"/>
              <w:jc w:val="both"/>
            </w:pPr>
            <w:r>
              <w:t xml:space="preserve">Organisée par la Ligue de l'enseignement en collaboration avec Solidarité laïque, cette campagne (anciennement "Quinzaine de l'école publique") soutient des projets d'appui à l'éducation dans les pays en développement et sensibilise le public français à l'importance de la solidarité internationale et aux difficultés d'accès à l'éducation. Les enseignants peuvent mobiliser leurs classes pendant toute la durée de la campagne pour soutenir des projets d'aide à la scolarisation dans le monde et leur faire </w:t>
            </w:r>
            <w:r>
              <w:rPr>
                <w:rStyle w:val="dar02js45p"/>
                <w:b/>
                <w:bCs/>
              </w:rPr>
              <w:t>découvrir</w:t>
            </w:r>
            <w:r>
              <w:t xml:space="preserve"> les réalités de l'école dans les pays en développement.</w:t>
            </w:r>
          </w:p>
          <w:p w:rsidR="00F7570E" w:rsidRDefault="00F7570E" w:rsidP="006D02F9">
            <w:pPr>
              <w:pStyle w:val="NormalWeb"/>
              <w:jc w:val="both"/>
            </w:pPr>
            <w:r>
              <w:rPr>
                <w:b/>
                <w:bCs/>
              </w:rPr>
              <w:t>En savoir plus</w:t>
            </w:r>
            <w:r>
              <w:t xml:space="preserve"> :</w:t>
            </w:r>
          </w:p>
          <w:p w:rsidR="00F7570E" w:rsidRDefault="008C0A9B" w:rsidP="006D02F9">
            <w:pPr>
              <w:pStyle w:val="NormalWeb"/>
              <w:jc w:val="both"/>
            </w:pPr>
            <w:hyperlink r:id="rId24" w:tgtFrame="_blank" w:history="1">
              <w:r w:rsidR="00F7570E">
                <w:rPr>
                  <w:rStyle w:val="Lienhypertexte"/>
                </w:rPr>
                <w:t>La Campagne « Pas d'éducation, pas d'avenir ! »</w:t>
              </w:r>
            </w:hyperlink>
          </w:p>
          <w:p w:rsidR="00F7570E" w:rsidRDefault="008C0A9B" w:rsidP="006D02F9">
            <w:pPr>
              <w:pStyle w:val="NormalWeb"/>
              <w:jc w:val="both"/>
            </w:pPr>
            <w:hyperlink r:id="rId25" w:tgtFrame="_blank" w:history="1">
              <w:r w:rsidR="00F7570E">
                <w:rPr>
                  <w:rStyle w:val="Lienhypertexte"/>
                </w:rPr>
                <w:t>Le site de La Ligue de l'enseignement</w:t>
              </w:r>
            </w:hyperlink>
          </w:p>
        </w:tc>
      </w:tr>
    </w:tbl>
    <w:p w:rsidR="00F7570E" w:rsidRDefault="00F7570E" w:rsidP="006D02F9">
      <w:pPr>
        <w:pStyle w:val="Titre3"/>
        <w:jc w:val="both"/>
      </w:pPr>
      <w:r>
        <w:t>Les actions menées par l'Unicef-France</w:t>
      </w:r>
    </w:p>
    <w:tbl>
      <w:tblPr>
        <w:tblW w:w="0" w:type="auto"/>
        <w:tblCellSpacing w:w="15" w:type="dxa"/>
        <w:tblCellMar>
          <w:top w:w="15" w:type="dxa"/>
          <w:left w:w="15" w:type="dxa"/>
          <w:bottom w:w="15" w:type="dxa"/>
          <w:right w:w="15" w:type="dxa"/>
        </w:tblCellMar>
        <w:tblLook w:val="04A0"/>
      </w:tblPr>
      <w:tblGrid>
        <w:gridCol w:w="2355"/>
        <w:gridCol w:w="6807"/>
      </w:tblGrid>
      <w:tr w:rsidR="00F7570E" w:rsidTr="00F7570E">
        <w:trPr>
          <w:tblCellSpacing w:w="15" w:type="dxa"/>
        </w:trPr>
        <w:tc>
          <w:tcPr>
            <w:tcW w:w="0" w:type="auto"/>
            <w:vAlign w:val="center"/>
            <w:hideMark/>
          </w:tcPr>
          <w:p w:rsidR="00F7570E" w:rsidRDefault="00F7570E" w:rsidP="006D02F9">
            <w:pPr>
              <w:jc w:val="both"/>
              <w:rPr>
                <w:sz w:val="24"/>
                <w:szCs w:val="24"/>
              </w:rPr>
            </w:pPr>
            <w:r>
              <w:rPr>
                <w:noProof/>
                <w:lang w:eastAsia="fr-FR"/>
              </w:rPr>
              <w:drawing>
                <wp:inline distT="0" distB="0" distL="0" distR="0">
                  <wp:extent cx="1428750" cy="1190625"/>
                  <wp:effectExtent l="19050" t="0" r="0" b="0"/>
                  <wp:docPr id="9" name="Image 9" descr="logo_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unicef"/>
                          <pic:cNvPicPr>
                            <a:picLocks noChangeAspect="1" noChangeArrowheads="1"/>
                          </pic:cNvPicPr>
                        </pic:nvPicPr>
                        <pic:blipFill>
                          <a:blip r:embed="rId26" cstate="print"/>
                          <a:srcRect/>
                          <a:stretch>
                            <a:fillRect/>
                          </a:stretch>
                        </pic:blipFill>
                        <pic:spPr bwMode="auto">
                          <a:xfrm>
                            <a:off x="0" y="0"/>
                            <a:ext cx="1428750" cy="1190625"/>
                          </a:xfrm>
                          <a:prstGeom prst="rect">
                            <a:avLst/>
                          </a:prstGeom>
                          <a:noFill/>
                          <a:ln w="9525">
                            <a:noFill/>
                            <a:miter lim="800000"/>
                            <a:headEnd/>
                            <a:tailEnd/>
                          </a:ln>
                        </pic:spPr>
                      </pic:pic>
                    </a:graphicData>
                  </a:graphic>
                </wp:inline>
              </w:drawing>
            </w:r>
          </w:p>
        </w:tc>
        <w:tc>
          <w:tcPr>
            <w:tcW w:w="0" w:type="auto"/>
            <w:vAlign w:val="center"/>
            <w:hideMark/>
          </w:tcPr>
          <w:p w:rsidR="00F7570E" w:rsidRDefault="00F7570E" w:rsidP="006D02F9">
            <w:pPr>
              <w:pStyle w:val="NormalWeb"/>
              <w:jc w:val="both"/>
            </w:pPr>
            <w:r>
              <w:t xml:space="preserve">L'Unicef-France est un partenaire de longue date du ministère dans le </w:t>
            </w:r>
            <w:r>
              <w:rPr>
                <w:rStyle w:val="dar02js45p"/>
                <w:b/>
                <w:bCs/>
              </w:rPr>
              <w:t>domaine</w:t>
            </w:r>
            <w:r>
              <w:t xml:space="preserve"> de la promotion des droits de l'enfant, qui créé des ressources pédagogiques, fait intervenir des bénévoles dans les classes, etc. Ce partenariat a été renouvelé par l'accord-cadre signé le 25 octobre 2011, témoignant de la volonté commune du ministère et de l'UNICEF-France de promouvoir les droits de l'enfant et une </w:t>
            </w:r>
            <w:r>
              <w:rPr>
                <w:rStyle w:val="dar02js45p"/>
                <w:b/>
                <w:bCs/>
              </w:rPr>
              <w:t>meilleure connaissance</w:t>
            </w:r>
            <w:r>
              <w:t xml:space="preserve"> de la Convention internationale des droits de l'enfant en France.</w:t>
            </w:r>
          </w:p>
          <w:p w:rsidR="00F7570E" w:rsidRDefault="00F7570E" w:rsidP="006D02F9">
            <w:pPr>
              <w:pStyle w:val="NormalWeb"/>
              <w:jc w:val="both"/>
            </w:pPr>
            <w:r>
              <w:rPr>
                <w:b/>
                <w:bCs/>
              </w:rPr>
              <w:t>En savoir plus</w:t>
            </w:r>
            <w:r>
              <w:t xml:space="preserve"> :</w:t>
            </w:r>
          </w:p>
          <w:p w:rsidR="00F7570E" w:rsidRDefault="008C0A9B" w:rsidP="006D02F9">
            <w:pPr>
              <w:pStyle w:val="NormalWeb"/>
              <w:jc w:val="both"/>
            </w:pPr>
            <w:hyperlink r:id="rId27" w:tgtFrame="_blank" w:history="1">
              <w:r w:rsidR="00F7570E">
                <w:rPr>
                  <w:rStyle w:val="Lienhypertexte"/>
                  <w:color w:val="460067"/>
                </w:rPr>
                <w:t>L'Unicef-France et son partenariat avec le ministère</w:t>
              </w:r>
            </w:hyperlink>
          </w:p>
          <w:p w:rsidR="00F7570E" w:rsidRDefault="008C0A9B" w:rsidP="006D02F9">
            <w:pPr>
              <w:pStyle w:val="NormalWeb"/>
              <w:jc w:val="both"/>
            </w:pPr>
            <w:hyperlink r:id="rId28" w:tgtFrame="_blank" w:history="1">
              <w:r w:rsidR="00F7570E">
                <w:rPr>
                  <w:rStyle w:val="Lienhypertexte"/>
                </w:rPr>
                <w:t>Le site de l'Unicef-France</w:t>
              </w:r>
            </w:hyperlink>
          </w:p>
        </w:tc>
      </w:tr>
    </w:tbl>
    <w:p w:rsidR="00F7570E" w:rsidRDefault="00F7570E" w:rsidP="00F7570E">
      <w:pPr>
        <w:pStyle w:val="NormalWeb"/>
      </w:pPr>
      <w:r>
        <w:t>Parmi les actions majeures menées par l'Unicef-France auprès des élèves, on peut notamment remarquer :</w:t>
      </w:r>
    </w:p>
    <w:p w:rsidR="00F7570E" w:rsidRDefault="00F7570E" w:rsidP="00F7570E">
      <w:pPr>
        <w:pStyle w:val="NormalWeb"/>
      </w:pPr>
      <w:r>
        <w:t> </w:t>
      </w:r>
    </w:p>
    <w:tbl>
      <w:tblPr>
        <w:tblW w:w="0" w:type="auto"/>
        <w:tblCellSpacing w:w="15" w:type="dxa"/>
        <w:tblCellMar>
          <w:top w:w="15" w:type="dxa"/>
          <w:left w:w="15" w:type="dxa"/>
          <w:bottom w:w="15" w:type="dxa"/>
          <w:right w:w="15" w:type="dxa"/>
        </w:tblCellMar>
        <w:tblLook w:val="04A0"/>
      </w:tblPr>
      <w:tblGrid>
        <w:gridCol w:w="2355"/>
        <w:gridCol w:w="6807"/>
      </w:tblGrid>
      <w:tr w:rsidR="00F7570E" w:rsidTr="00F7570E">
        <w:trPr>
          <w:tblCellSpacing w:w="15" w:type="dxa"/>
        </w:trPr>
        <w:tc>
          <w:tcPr>
            <w:tcW w:w="0" w:type="auto"/>
            <w:vAlign w:val="center"/>
            <w:hideMark/>
          </w:tcPr>
          <w:p w:rsidR="00F7570E" w:rsidRDefault="00F7570E" w:rsidP="006D02F9">
            <w:pPr>
              <w:jc w:val="both"/>
              <w:rPr>
                <w:sz w:val="24"/>
                <w:szCs w:val="24"/>
              </w:rPr>
            </w:pPr>
            <w:r>
              <w:rPr>
                <w:noProof/>
                <w:lang w:eastAsia="fr-FR"/>
              </w:rPr>
              <w:drawing>
                <wp:inline distT="0" distB="0" distL="0" distR="0">
                  <wp:extent cx="1428750" cy="1428750"/>
                  <wp:effectExtent l="19050" t="0" r="0" b="0"/>
                  <wp:docPr id="11" name="Image 11" descr="clubs_unicef_je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lubs_unicef_jeunes"/>
                          <pic:cNvPicPr>
                            <a:picLocks noChangeAspect="1" noChangeArrowheads="1"/>
                          </pic:cNvPicPr>
                        </pic:nvPicPr>
                        <pic:blipFill>
                          <a:blip r:embed="rId2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tc>
        <w:tc>
          <w:tcPr>
            <w:tcW w:w="0" w:type="auto"/>
            <w:vAlign w:val="center"/>
            <w:hideMark/>
          </w:tcPr>
          <w:p w:rsidR="00F7570E" w:rsidRDefault="00F7570E" w:rsidP="006D02F9">
            <w:pPr>
              <w:pStyle w:val="NormalWeb"/>
              <w:jc w:val="both"/>
            </w:pPr>
            <w:r>
              <w:rPr>
                <w:b/>
                <w:bCs/>
              </w:rPr>
              <w:t>Les « Clubs Unicef jeunes »</w:t>
            </w:r>
          </w:p>
          <w:p w:rsidR="00F7570E" w:rsidRDefault="00F7570E" w:rsidP="006D02F9">
            <w:pPr>
              <w:pStyle w:val="NormalWeb"/>
              <w:jc w:val="both"/>
            </w:pPr>
            <w:r>
              <w:t xml:space="preserve">Sous la conduite d'enseignants, ils regroupent des élèves de </w:t>
            </w:r>
            <w:r>
              <w:rPr>
                <w:rStyle w:val="dar02js45p"/>
                <w:b/>
                <w:bCs/>
              </w:rPr>
              <w:t>collège</w:t>
            </w:r>
            <w:r>
              <w:t xml:space="preserve"> soucieux de mieux comprendre le sort des enfants dans le monde et l'action de l'Unicef. Groupes de réflexion et d'échanges, les Clubs Unicef jeunes contribuent à la </w:t>
            </w:r>
            <w:r>
              <w:rPr>
                <w:rStyle w:val="dar02js45p"/>
                <w:b/>
                <w:bCs/>
              </w:rPr>
              <w:t>formation</w:t>
            </w:r>
            <w:r>
              <w:t xml:space="preserve"> de futurs citoyens ouverts aux enjeux mondiaux.</w:t>
            </w:r>
          </w:p>
          <w:p w:rsidR="00F7570E" w:rsidRDefault="008C0A9B" w:rsidP="006D02F9">
            <w:pPr>
              <w:pStyle w:val="NormalWeb"/>
              <w:jc w:val="both"/>
            </w:pPr>
            <w:hyperlink r:id="rId30" w:tgtFrame="_blank" w:history="1">
              <w:r w:rsidR="00F7570E">
                <w:rPr>
                  <w:rStyle w:val="Lienhypertexte"/>
                </w:rPr>
                <w:t>En savoir plus sur les « Clubs Unicef jeunes »</w:t>
              </w:r>
            </w:hyperlink>
          </w:p>
        </w:tc>
      </w:tr>
    </w:tbl>
    <w:p w:rsidR="00F7570E" w:rsidRDefault="00F7570E" w:rsidP="006D02F9">
      <w:pPr>
        <w:pStyle w:val="NormalWeb"/>
        <w:jc w:val="both"/>
      </w:pPr>
      <w:r>
        <w:t> </w:t>
      </w:r>
    </w:p>
    <w:tbl>
      <w:tblPr>
        <w:tblW w:w="0" w:type="auto"/>
        <w:tblCellSpacing w:w="15" w:type="dxa"/>
        <w:tblCellMar>
          <w:top w:w="15" w:type="dxa"/>
          <w:left w:w="15" w:type="dxa"/>
          <w:bottom w:w="15" w:type="dxa"/>
          <w:right w:w="15" w:type="dxa"/>
        </w:tblCellMar>
        <w:tblLook w:val="04A0"/>
      </w:tblPr>
      <w:tblGrid>
        <w:gridCol w:w="2355"/>
        <w:gridCol w:w="6807"/>
      </w:tblGrid>
      <w:tr w:rsidR="00F7570E" w:rsidTr="00F7570E">
        <w:trPr>
          <w:tblCellSpacing w:w="15" w:type="dxa"/>
        </w:trPr>
        <w:tc>
          <w:tcPr>
            <w:tcW w:w="0" w:type="auto"/>
            <w:vAlign w:val="center"/>
            <w:hideMark/>
          </w:tcPr>
          <w:p w:rsidR="00F7570E" w:rsidRDefault="00F7570E">
            <w:pPr>
              <w:rPr>
                <w:sz w:val="24"/>
                <w:szCs w:val="24"/>
              </w:rPr>
            </w:pPr>
            <w:r>
              <w:rPr>
                <w:noProof/>
                <w:lang w:eastAsia="fr-FR"/>
              </w:rPr>
              <w:lastRenderedPageBreak/>
              <w:drawing>
                <wp:inline distT="0" distB="0" distL="0" distR="0">
                  <wp:extent cx="1428750" cy="962025"/>
                  <wp:effectExtent l="19050" t="0" r="0" b="0"/>
                  <wp:docPr id="12" name="Image 12" descr="jeunes_ambassadeurs_uni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unes_ambassadeurs_unicef"/>
                          <pic:cNvPicPr>
                            <a:picLocks noChangeAspect="1" noChangeArrowheads="1"/>
                          </pic:cNvPicPr>
                        </pic:nvPicPr>
                        <pic:blipFill>
                          <a:blip r:embed="rId31"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tc>
        <w:tc>
          <w:tcPr>
            <w:tcW w:w="0" w:type="auto"/>
            <w:vAlign w:val="center"/>
            <w:hideMark/>
          </w:tcPr>
          <w:p w:rsidR="00F7570E" w:rsidRDefault="00F7570E" w:rsidP="006D02F9">
            <w:pPr>
              <w:pStyle w:val="NormalWeb"/>
              <w:jc w:val="both"/>
            </w:pPr>
            <w:r>
              <w:rPr>
                <w:b/>
                <w:bCs/>
              </w:rPr>
              <w:t>Le Programme des « Jeunes ambassadeurs »</w:t>
            </w:r>
          </w:p>
          <w:p w:rsidR="00F7570E" w:rsidRDefault="00F7570E" w:rsidP="006D02F9">
            <w:pPr>
              <w:pStyle w:val="NormalWeb"/>
              <w:jc w:val="both"/>
            </w:pPr>
            <w:r>
              <w:t>Programme d'éducation de pair à pair, il repose sur l'implication de lycéens chargés de relayer l'action et le message de l'Unicef au sein de leur lycée. Ils sont accompagnés et soutenus par les bénévoles d'Unicef-France.</w:t>
            </w:r>
          </w:p>
          <w:p w:rsidR="00F7570E" w:rsidRDefault="008C0A9B" w:rsidP="006D02F9">
            <w:pPr>
              <w:pStyle w:val="NormalWeb"/>
              <w:jc w:val="both"/>
            </w:pPr>
            <w:hyperlink r:id="rId32" w:tgtFrame="_blank" w:history="1">
              <w:r w:rsidR="00F7570E">
                <w:rPr>
                  <w:rStyle w:val="Lienhypertexte"/>
                </w:rPr>
                <w:t>En savoir plus sur les « Jeunes ambassadeurs »</w:t>
              </w:r>
            </w:hyperlink>
          </w:p>
        </w:tc>
      </w:tr>
    </w:tbl>
    <w:p w:rsidR="00EA5B7D" w:rsidRDefault="00EA5B7D"/>
    <w:p w:rsidR="005F6E44" w:rsidRPr="005F6E44" w:rsidRDefault="005F6E44">
      <w:pPr>
        <w:rPr>
          <w:b/>
        </w:rPr>
      </w:pPr>
      <w:r w:rsidRPr="005F6E44">
        <w:rPr>
          <w:b/>
        </w:rPr>
        <w:t>DOCUMENTS ANNEXES :</w:t>
      </w:r>
    </w:p>
    <w:p w:rsidR="005F6E44" w:rsidRDefault="005F6E44" w:rsidP="00DE73EC">
      <w:pPr>
        <w:pStyle w:val="Paragraphedeliste"/>
        <w:numPr>
          <w:ilvl w:val="0"/>
          <w:numId w:val="1"/>
        </w:numPr>
      </w:pPr>
      <w:r>
        <w:t>Convention Internationale des Droits de l’Enfant</w:t>
      </w:r>
    </w:p>
    <w:p w:rsidR="005F6E44" w:rsidRDefault="005F6E44" w:rsidP="00DE73EC">
      <w:pPr>
        <w:pStyle w:val="Paragraphedeliste"/>
        <w:numPr>
          <w:ilvl w:val="0"/>
          <w:numId w:val="1"/>
        </w:numPr>
      </w:pPr>
      <w:r>
        <w:t>Quatre fiches thématiques sur la CIDE éditées par l’UNICEF</w:t>
      </w:r>
    </w:p>
    <w:p w:rsidR="005F6E44" w:rsidRPr="00DE73EC" w:rsidRDefault="002E276F" w:rsidP="00DE73EC">
      <w:pPr>
        <w:pStyle w:val="Paragraphedeliste"/>
        <w:numPr>
          <w:ilvl w:val="0"/>
          <w:numId w:val="1"/>
        </w:numPr>
        <w:tabs>
          <w:tab w:val="left" w:pos="6379"/>
        </w:tabs>
        <w:spacing w:after="240"/>
        <w:rPr>
          <w:szCs w:val="23"/>
        </w:rPr>
      </w:pPr>
      <w:r w:rsidRPr="00DE73EC">
        <w:rPr>
          <w:szCs w:val="23"/>
        </w:rPr>
        <w:t>R</w:t>
      </w:r>
      <w:r w:rsidR="00DE73EC">
        <w:rPr>
          <w:szCs w:val="23"/>
        </w:rPr>
        <w:t>apports présentés par les états-</w:t>
      </w:r>
      <w:r w:rsidRPr="00DE73EC">
        <w:rPr>
          <w:szCs w:val="23"/>
        </w:rPr>
        <w:t xml:space="preserve">parties en application de l’article 44 de la convention : </w:t>
      </w:r>
      <w:r w:rsidR="005F6E44">
        <w:t>Rapport sur l’application par la France de la CIDE</w:t>
      </w:r>
      <w:r>
        <w:t xml:space="preserve"> (2007)</w:t>
      </w:r>
    </w:p>
    <w:sectPr w:rsidR="005F6E44" w:rsidRPr="00DE73EC" w:rsidSect="006D02F9">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16E0B"/>
    <w:multiLevelType w:val="hybridMultilevel"/>
    <w:tmpl w:val="21FAD812"/>
    <w:lvl w:ilvl="0" w:tplc="A4B068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8B510C1"/>
    <w:multiLevelType w:val="multilevel"/>
    <w:tmpl w:val="EE16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570E"/>
    <w:rsid w:val="002E276F"/>
    <w:rsid w:val="00585664"/>
    <w:rsid w:val="005F6E44"/>
    <w:rsid w:val="006D02F9"/>
    <w:rsid w:val="008C0A9B"/>
    <w:rsid w:val="00963388"/>
    <w:rsid w:val="00A947F0"/>
    <w:rsid w:val="00C85317"/>
    <w:rsid w:val="00CB018C"/>
    <w:rsid w:val="00DE73EC"/>
    <w:rsid w:val="00EA5B7D"/>
    <w:rsid w:val="00F757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B7D"/>
  </w:style>
  <w:style w:type="paragraph" w:styleId="Titre2">
    <w:name w:val="heading 2"/>
    <w:basedOn w:val="Normal"/>
    <w:link w:val="Titre2Car"/>
    <w:uiPriority w:val="9"/>
    <w:qFormat/>
    <w:rsid w:val="00F757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F757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570E"/>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F757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r02js45p">
    <w:name w:val="dar02js45p"/>
    <w:basedOn w:val="Policepardfaut"/>
    <w:rsid w:val="00F7570E"/>
  </w:style>
  <w:style w:type="character" w:styleId="Lienhypertexte">
    <w:name w:val="Hyperlink"/>
    <w:basedOn w:val="Policepardfaut"/>
    <w:uiPriority w:val="99"/>
    <w:semiHidden/>
    <w:unhideWhenUsed/>
    <w:rsid w:val="00F7570E"/>
    <w:rPr>
      <w:color w:val="0000FF"/>
      <w:u w:val="single"/>
    </w:rPr>
  </w:style>
  <w:style w:type="paragraph" w:styleId="Textedebulles">
    <w:name w:val="Balloon Text"/>
    <w:basedOn w:val="Normal"/>
    <w:link w:val="TextedebullesCar"/>
    <w:uiPriority w:val="99"/>
    <w:semiHidden/>
    <w:unhideWhenUsed/>
    <w:rsid w:val="00F757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570E"/>
    <w:rPr>
      <w:rFonts w:ascii="Tahoma" w:hAnsi="Tahoma" w:cs="Tahoma"/>
      <w:sz w:val="16"/>
      <w:szCs w:val="16"/>
    </w:rPr>
  </w:style>
  <w:style w:type="character" w:customStyle="1" w:styleId="Titre3Car">
    <w:name w:val="Titre 3 Car"/>
    <w:basedOn w:val="Policepardfaut"/>
    <w:link w:val="Titre3"/>
    <w:uiPriority w:val="9"/>
    <w:semiHidden/>
    <w:rsid w:val="00F7570E"/>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DE73EC"/>
    <w:pPr>
      <w:ind w:left="720"/>
      <w:contextualSpacing/>
    </w:pPr>
  </w:style>
</w:styles>
</file>

<file path=word/webSettings.xml><?xml version="1.0" encoding="utf-8"?>
<w:webSettings xmlns:r="http://schemas.openxmlformats.org/officeDocument/2006/relationships" xmlns:w="http://schemas.openxmlformats.org/wordprocessingml/2006/main">
  <w:divs>
    <w:div w:id="709183024">
      <w:bodyDiv w:val="1"/>
      <w:marLeft w:val="0"/>
      <w:marRight w:val="0"/>
      <w:marTop w:val="0"/>
      <w:marBottom w:val="0"/>
      <w:divBdr>
        <w:top w:val="none" w:sz="0" w:space="0" w:color="auto"/>
        <w:left w:val="none" w:sz="0" w:space="0" w:color="auto"/>
        <w:bottom w:val="none" w:sz="0" w:space="0" w:color="auto"/>
        <w:right w:val="none" w:sz="0" w:space="0" w:color="auto"/>
      </w:divBdr>
      <w:divsChild>
        <w:div w:id="600381992">
          <w:marLeft w:val="0"/>
          <w:marRight w:val="0"/>
          <w:marTop w:val="0"/>
          <w:marBottom w:val="0"/>
          <w:divBdr>
            <w:top w:val="none" w:sz="0" w:space="0" w:color="auto"/>
            <w:left w:val="none" w:sz="0" w:space="0" w:color="auto"/>
            <w:bottom w:val="none" w:sz="0" w:space="0" w:color="auto"/>
            <w:right w:val="none" w:sz="0" w:space="0" w:color="auto"/>
          </w:divBdr>
        </w:div>
        <w:div w:id="2006275353">
          <w:marLeft w:val="0"/>
          <w:marRight w:val="0"/>
          <w:marTop w:val="0"/>
          <w:marBottom w:val="0"/>
          <w:divBdr>
            <w:top w:val="none" w:sz="0" w:space="0" w:color="auto"/>
            <w:left w:val="none" w:sz="0" w:space="0" w:color="auto"/>
            <w:bottom w:val="none" w:sz="0" w:space="0" w:color="auto"/>
            <w:right w:val="none" w:sz="0" w:space="0" w:color="auto"/>
          </w:divBdr>
        </w:div>
        <w:div w:id="1331762016">
          <w:marLeft w:val="0"/>
          <w:marRight w:val="0"/>
          <w:marTop w:val="0"/>
          <w:marBottom w:val="0"/>
          <w:divBdr>
            <w:top w:val="none" w:sz="0" w:space="0" w:color="auto"/>
            <w:left w:val="none" w:sz="0" w:space="0" w:color="auto"/>
            <w:bottom w:val="none" w:sz="0" w:space="0" w:color="auto"/>
            <w:right w:val="none" w:sz="0" w:space="0" w:color="auto"/>
          </w:divBdr>
        </w:div>
        <w:div w:id="1420252194">
          <w:marLeft w:val="0"/>
          <w:marRight w:val="0"/>
          <w:marTop w:val="0"/>
          <w:marBottom w:val="0"/>
          <w:divBdr>
            <w:top w:val="none" w:sz="0" w:space="0" w:color="auto"/>
            <w:left w:val="none" w:sz="0" w:space="0" w:color="auto"/>
            <w:bottom w:val="none" w:sz="0" w:space="0" w:color="auto"/>
            <w:right w:val="none" w:sz="0" w:space="0" w:color="auto"/>
          </w:divBdr>
        </w:div>
        <w:div w:id="1103957261">
          <w:marLeft w:val="0"/>
          <w:marRight w:val="0"/>
          <w:marTop w:val="0"/>
          <w:marBottom w:val="0"/>
          <w:divBdr>
            <w:top w:val="none" w:sz="0" w:space="0" w:color="auto"/>
            <w:left w:val="none" w:sz="0" w:space="0" w:color="auto"/>
            <w:bottom w:val="none" w:sz="0" w:space="0" w:color="auto"/>
            <w:right w:val="none" w:sz="0" w:space="0" w:color="auto"/>
          </w:divBdr>
        </w:div>
        <w:div w:id="1013530716">
          <w:marLeft w:val="0"/>
          <w:marRight w:val="0"/>
          <w:marTop w:val="0"/>
          <w:marBottom w:val="0"/>
          <w:divBdr>
            <w:top w:val="none" w:sz="0" w:space="0" w:color="auto"/>
            <w:left w:val="none" w:sz="0" w:space="0" w:color="auto"/>
            <w:bottom w:val="none" w:sz="0" w:space="0" w:color="auto"/>
            <w:right w:val="none" w:sz="0" w:space="0" w:color="auto"/>
          </w:divBdr>
        </w:div>
        <w:div w:id="686753611">
          <w:marLeft w:val="0"/>
          <w:marRight w:val="0"/>
          <w:marTop w:val="0"/>
          <w:marBottom w:val="0"/>
          <w:divBdr>
            <w:top w:val="none" w:sz="0" w:space="0" w:color="auto"/>
            <w:left w:val="none" w:sz="0" w:space="0" w:color="auto"/>
            <w:bottom w:val="none" w:sz="0" w:space="0" w:color="auto"/>
            <w:right w:val="none" w:sz="0" w:space="0" w:color="auto"/>
          </w:divBdr>
        </w:div>
        <w:div w:id="1120537458">
          <w:marLeft w:val="0"/>
          <w:marRight w:val="0"/>
          <w:marTop w:val="0"/>
          <w:marBottom w:val="0"/>
          <w:divBdr>
            <w:top w:val="none" w:sz="0" w:space="0" w:color="auto"/>
            <w:left w:val="none" w:sz="0" w:space="0" w:color="auto"/>
            <w:bottom w:val="none" w:sz="0" w:space="0" w:color="auto"/>
            <w:right w:val="none" w:sz="0" w:space="0" w:color="auto"/>
          </w:divBdr>
        </w:div>
        <w:div w:id="404300900">
          <w:marLeft w:val="0"/>
          <w:marRight w:val="0"/>
          <w:marTop w:val="0"/>
          <w:marBottom w:val="0"/>
          <w:divBdr>
            <w:top w:val="none" w:sz="0" w:space="0" w:color="auto"/>
            <w:left w:val="none" w:sz="0" w:space="0" w:color="auto"/>
            <w:bottom w:val="none" w:sz="0" w:space="0" w:color="auto"/>
            <w:right w:val="none" w:sz="0" w:space="0" w:color="auto"/>
          </w:divBdr>
        </w:div>
        <w:div w:id="531766378">
          <w:marLeft w:val="0"/>
          <w:marRight w:val="0"/>
          <w:marTop w:val="0"/>
          <w:marBottom w:val="0"/>
          <w:divBdr>
            <w:top w:val="none" w:sz="0" w:space="0" w:color="auto"/>
            <w:left w:val="none" w:sz="0" w:space="0" w:color="auto"/>
            <w:bottom w:val="none" w:sz="0" w:space="0" w:color="auto"/>
            <w:right w:val="none" w:sz="0" w:space="0" w:color="auto"/>
          </w:divBdr>
        </w:div>
      </w:divsChild>
    </w:div>
    <w:div w:id="988289997">
      <w:bodyDiv w:val="1"/>
      <w:marLeft w:val="0"/>
      <w:marRight w:val="0"/>
      <w:marTop w:val="0"/>
      <w:marBottom w:val="0"/>
      <w:divBdr>
        <w:top w:val="none" w:sz="0" w:space="0" w:color="auto"/>
        <w:left w:val="none" w:sz="0" w:space="0" w:color="auto"/>
        <w:bottom w:val="none" w:sz="0" w:space="0" w:color="auto"/>
        <w:right w:val="none" w:sz="0" w:space="0" w:color="auto"/>
      </w:divBdr>
    </w:div>
    <w:div w:id="1100493409">
      <w:bodyDiv w:val="1"/>
      <w:marLeft w:val="0"/>
      <w:marRight w:val="0"/>
      <w:marTop w:val="0"/>
      <w:marBottom w:val="0"/>
      <w:divBdr>
        <w:top w:val="none" w:sz="0" w:space="0" w:color="auto"/>
        <w:left w:val="none" w:sz="0" w:space="0" w:color="auto"/>
        <w:bottom w:val="none" w:sz="0" w:space="0" w:color="auto"/>
        <w:right w:val="none" w:sz="0" w:space="0" w:color="auto"/>
      </w:divBdr>
    </w:div>
    <w:div w:id="1184174526">
      <w:bodyDiv w:val="1"/>
      <w:marLeft w:val="0"/>
      <w:marRight w:val="0"/>
      <w:marTop w:val="0"/>
      <w:marBottom w:val="0"/>
      <w:divBdr>
        <w:top w:val="none" w:sz="0" w:space="0" w:color="auto"/>
        <w:left w:val="none" w:sz="0" w:space="0" w:color="auto"/>
        <w:bottom w:val="none" w:sz="0" w:space="0" w:color="auto"/>
        <w:right w:val="none" w:sz="0" w:space="0" w:color="auto"/>
      </w:divBdr>
    </w:div>
    <w:div w:id="1411465753">
      <w:bodyDiv w:val="1"/>
      <w:marLeft w:val="0"/>
      <w:marRight w:val="0"/>
      <w:marTop w:val="0"/>
      <w:marBottom w:val="0"/>
      <w:divBdr>
        <w:top w:val="none" w:sz="0" w:space="0" w:color="auto"/>
        <w:left w:val="none" w:sz="0" w:space="0" w:color="auto"/>
        <w:bottom w:val="none" w:sz="0" w:space="0" w:color="auto"/>
        <w:right w:val="none" w:sz="0" w:space="0" w:color="auto"/>
      </w:divBdr>
    </w:div>
    <w:div w:id="212896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r.wikipedia.org/wiki/%C3%89claireuses_%C3%A9claireurs_de_France" TargetMode="External"/><Relationship Id="rId18" Type="http://schemas.openxmlformats.org/officeDocument/2006/relationships/image" Target="media/image4.jpeg"/><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eduscol.education.fr/pid23592-cid65961/campagne-de-solidarite-et-de-citoyennete-de-la-jeunesse-au-plein-air.html" TargetMode="External"/><Relationship Id="rId34" Type="http://schemas.openxmlformats.org/officeDocument/2006/relationships/theme" Target="theme/theme1.xml"/><Relationship Id="rId7" Type="http://schemas.openxmlformats.org/officeDocument/2006/relationships/hyperlink" Target="http://www.cncdh.fr/" TargetMode="External"/><Relationship Id="rId12" Type="http://schemas.openxmlformats.org/officeDocument/2006/relationships/hyperlink" Target="http://fr.wikipedia.org/wiki/1944" TargetMode="External"/><Relationship Id="rId17" Type="http://schemas.openxmlformats.org/officeDocument/2006/relationships/hyperlink" Target="http://www.cidem.org/" TargetMode="External"/><Relationship Id="rId25" Type="http://schemas.openxmlformats.org/officeDocument/2006/relationships/hyperlink" Target="http://www.laligue.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tinerairesdecitoyennete.org/index.php?page=content&amp;site=20" TargetMode="External"/><Relationship Id="rId20" Type="http://schemas.openxmlformats.org/officeDocument/2006/relationships/image" Target="media/image5.jpeg"/><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http://eduscol.education.fr/cid46681/prix-rene-cassin.html" TargetMode="External"/><Relationship Id="rId11" Type="http://schemas.openxmlformats.org/officeDocument/2006/relationships/hyperlink" Target="http://fr.wikipedia.org/wiki/%C3%89ducation_populaire" TargetMode="External"/><Relationship Id="rId24" Type="http://schemas.openxmlformats.org/officeDocument/2006/relationships/hyperlink" Target="http://www.pasdeducationpasdavenir.org/" TargetMode="External"/><Relationship Id="rId32" Type="http://schemas.openxmlformats.org/officeDocument/2006/relationships/hyperlink" Target="http://www.unicef.fr/contenu/actualite-humanitaire-unicef/le-programme-jeunes-ambassadeurs-de-lunicef-2009-08-27" TargetMode="External"/><Relationship Id="rId5" Type="http://schemas.openxmlformats.org/officeDocument/2006/relationships/image" Target="media/image1.jpeg"/><Relationship Id="rId15" Type="http://schemas.openxmlformats.org/officeDocument/2006/relationships/image" Target="media/image3.jpeg"/><Relationship Id="rId23" Type="http://schemas.openxmlformats.org/officeDocument/2006/relationships/image" Target="media/image6.jpeg"/><Relationship Id="rId28" Type="http://schemas.openxmlformats.org/officeDocument/2006/relationships/hyperlink" Target="http://www.unicef.fr/" TargetMode="External"/><Relationship Id="rId10" Type="http://schemas.openxmlformats.org/officeDocument/2006/relationships/hyperlink" Target="http://www.francas.asso.fr/" TargetMode="External"/><Relationship Id="rId19" Type="http://schemas.openxmlformats.org/officeDocument/2006/relationships/hyperlink" Target="http://cofrade.fr/"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eduscol.education.fr/pid23592-cid61526/concours-d-affiches-agis-pour-tes-droits-2012.html" TargetMode="External"/><Relationship Id="rId14" Type="http://schemas.openxmlformats.org/officeDocument/2006/relationships/hyperlink" Target="http://fr.wikipedia.org/wiki/Centre_d%27entra%C3%AEnement_aux_m%C3%A9thodes_d%27%C3%A9ducation_active" TargetMode="External"/><Relationship Id="rId22" Type="http://schemas.openxmlformats.org/officeDocument/2006/relationships/hyperlink" Target="http://www.jpa.asso.fr/" TargetMode="External"/><Relationship Id="rId27" Type="http://schemas.openxmlformats.org/officeDocument/2006/relationships/hyperlink" Target="http://eduscol.education.fr/pid23522-cid59662/l-unicef-france.html" TargetMode="External"/><Relationship Id="rId30" Type="http://schemas.openxmlformats.org/officeDocument/2006/relationships/hyperlink" Target="http://www.unicef.fr/contenu/actualite-humanitaire-unicef/les-clubs-unicef-jeunes-2010-06-1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1190</Words>
  <Characters>6546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Nono</dc:creator>
  <cp:lastModifiedBy>renault</cp:lastModifiedBy>
  <cp:revision>6</cp:revision>
  <dcterms:created xsi:type="dcterms:W3CDTF">2014-09-25T13:10:00Z</dcterms:created>
  <dcterms:modified xsi:type="dcterms:W3CDTF">2014-10-07T15:03:00Z</dcterms:modified>
</cp:coreProperties>
</file>