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3E" w:rsidRDefault="0081573E" w:rsidP="00E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D50DE3">
        <w:rPr>
          <w:u w:val="single"/>
        </w:rPr>
        <w:t>Titre de la séquence</w:t>
      </w:r>
      <w:r w:rsidRPr="000D6934">
        <w:t xml:space="preserve"> : </w:t>
      </w:r>
      <w:r w:rsidR="00EB350D" w:rsidRPr="00C86CC3">
        <w:rPr>
          <w:b/>
          <w:i/>
        </w:rPr>
        <w:t xml:space="preserve">Comprendre les enjeux de la responsabilité environnementale à l’heure de la mobilisation citoyenne pour </w:t>
      </w:r>
      <w:r w:rsidR="00C86CC3" w:rsidRPr="00C86CC3">
        <w:rPr>
          <w:b/>
          <w:i/>
        </w:rPr>
        <w:t>la COP 21.</w:t>
      </w:r>
    </w:p>
    <w:p w:rsidR="00687C73" w:rsidRDefault="00687C73" w:rsidP="00687C73">
      <w:r w:rsidRPr="00D50DE3">
        <w:rPr>
          <w:u w:val="single"/>
        </w:rPr>
        <w:t>Niveau</w:t>
      </w:r>
      <w:r w:rsidRPr="000D6934">
        <w:rPr>
          <w:b/>
        </w:rPr>
        <w:t> :</w:t>
      </w:r>
      <w:r w:rsidRPr="000D6934">
        <w:t xml:space="preserve"> Terminale BAC Pro</w:t>
      </w:r>
    </w:p>
    <w:p w:rsidR="00C02855" w:rsidRPr="000D6934" w:rsidRDefault="00C02855" w:rsidP="00C02855">
      <w:r w:rsidRPr="00D50DE3">
        <w:rPr>
          <w:u w:val="single"/>
        </w:rPr>
        <w:t>Thème</w:t>
      </w:r>
      <w:r>
        <w:t xml:space="preserve"> : </w:t>
      </w:r>
      <w:r w:rsidRPr="00D50DE3">
        <w:rPr>
          <w:b/>
        </w:rPr>
        <w:t>Société et environnement (Responsabilité environnementale et interdépendance humanité-nature)</w:t>
      </w:r>
    </w:p>
    <w:p w:rsidR="00687C73" w:rsidRPr="00D50DE3" w:rsidRDefault="00687C73" w:rsidP="0081573E">
      <w:pPr>
        <w:rPr>
          <w:b/>
          <w:i/>
        </w:rPr>
      </w:pP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678"/>
        <w:gridCol w:w="4819"/>
        <w:gridCol w:w="3827"/>
      </w:tblGrid>
      <w:tr w:rsidR="0034116B" w:rsidRPr="000D6934" w:rsidTr="003F7211">
        <w:trPr>
          <w:trHeight w:val="517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6B" w:rsidRPr="0022350F" w:rsidRDefault="0034116B" w:rsidP="00F27A2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fr-FR"/>
              </w:rPr>
            </w:pPr>
            <w:r w:rsidRPr="0022350F">
              <w:rPr>
                <w:rFonts w:eastAsia="Times New Roman"/>
                <w:b/>
                <w:color w:val="000000"/>
                <w:lang w:eastAsia="fr-FR"/>
              </w:rPr>
              <w:t>Séances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6B" w:rsidRPr="0022350F" w:rsidRDefault="0034116B" w:rsidP="00F27A2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22350F">
              <w:rPr>
                <w:rFonts w:eastAsia="Times New Roman"/>
                <w:b/>
                <w:color w:val="000000"/>
                <w:lang w:eastAsia="fr-FR"/>
              </w:rPr>
              <w:t>Compétences</w:t>
            </w:r>
            <w:r w:rsidRPr="0022350F">
              <w:rPr>
                <w:rFonts w:eastAsia="Times New Roman"/>
                <w:b/>
                <w:lang w:eastAsia="fr-FR"/>
              </w:rPr>
              <w:t xml:space="preserve"> (</w:t>
            </w:r>
            <w:r>
              <w:rPr>
                <w:rFonts w:eastAsia="Times New Roman"/>
                <w:b/>
                <w:lang w:eastAsia="fr-FR"/>
              </w:rPr>
              <w:t xml:space="preserve">et/ou </w:t>
            </w:r>
            <w:r w:rsidRPr="0022350F">
              <w:rPr>
                <w:rFonts w:eastAsia="Times New Roman"/>
                <w:b/>
                <w:lang w:eastAsia="fr-FR"/>
              </w:rPr>
              <w:t>capacités</w:t>
            </w:r>
            <w:r>
              <w:rPr>
                <w:rFonts w:eastAsia="Times New Roman"/>
                <w:b/>
                <w:lang w:eastAsia="fr-FR"/>
              </w:rPr>
              <w:t xml:space="preserve">, connaissances, </w:t>
            </w:r>
            <w:r w:rsidRPr="0022350F">
              <w:rPr>
                <w:rFonts w:eastAsia="Times New Roman"/>
                <w:b/>
                <w:lang w:eastAsia="fr-FR"/>
              </w:rPr>
              <w:t>attitudes)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6B" w:rsidRPr="0022350F" w:rsidRDefault="0034116B" w:rsidP="00F27A2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Activités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6B" w:rsidRPr="0022350F" w:rsidRDefault="0034116B" w:rsidP="00F27A21">
            <w:pPr>
              <w:spacing w:after="0"/>
              <w:jc w:val="center"/>
              <w:rPr>
                <w:rFonts w:eastAsia="Times New Roman"/>
                <w:b/>
                <w:lang w:eastAsia="fr-FR"/>
              </w:rPr>
            </w:pPr>
            <w:r w:rsidRPr="0022350F">
              <w:rPr>
                <w:rFonts w:eastAsia="Times New Roman"/>
                <w:b/>
                <w:color w:val="000000"/>
                <w:lang w:eastAsia="fr-FR"/>
              </w:rPr>
              <w:t>Supports/matériel</w:t>
            </w:r>
          </w:p>
        </w:tc>
      </w:tr>
      <w:tr w:rsidR="0034116B" w:rsidRPr="000D6934" w:rsidTr="00EA4952">
        <w:trPr>
          <w:trHeight w:val="3241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6B" w:rsidRDefault="0034116B" w:rsidP="006938ED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fr-FR"/>
              </w:rPr>
            </w:pPr>
          </w:p>
          <w:p w:rsidR="0034116B" w:rsidRDefault="0034116B" w:rsidP="006938ED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Lancement</w:t>
            </w:r>
          </w:p>
          <w:p w:rsidR="0034116B" w:rsidRPr="00C02855" w:rsidRDefault="0034116B" w:rsidP="006938ED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C02855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« Réagir aux affiches de la COP 21</w:t>
            </w:r>
            <w:r w:rsidRPr="00C02855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 »</w:t>
            </w:r>
          </w:p>
          <w:p w:rsidR="000C5A17" w:rsidRDefault="0034116B" w:rsidP="006938ED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(30’)</w:t>
            </w:r>
          </w:p>
          <w:p w:rsidR="000C5A17" w:rsidRPr="000C5A17" w:rsidRDefault="000C5A17" w:rsidP="000C5A17">
            <w:pPr>
              <w:rPr>
                <w:rFonts w:eastAsia="Times New Roman"/>
                <w:lang w:eastAsia="fr-FR"/>
              </w:rPr>
            </w:pPr>
          </w:p>
          <w:p w:rsidR="0034116B" w:rsidRPr="000C5A17" w:rsidRDefault="0034116B" w:rsidP="000C5A17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6B" w:rsidRDefault="0034116B" w:rsidP="00F27A21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C67EC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Compétences</w:t>
            </w:r>
            <w:r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Identifier  les</w:t>
            </w:r>
            <w:r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principes en jeu :</w:t>
            </w:r>
          </w:p>
          <w:p w:rsidR="0034116B" w:rsidRDefault="00B507CE" w:rsidP="00D50DE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-la</w:t>
            </w:r>
            <w:r w:rsidR="0034116B"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responsabilité (</w:t>
            </w:r>
            <w:r w:rsidR="0034116B" w:rsidRPr="002A0504">
              <w:rPr>
                <w:sz w:val="20"/>
                <w:szCs w:val="20"/>
              </w:rPr>
              <w:t>Obligation ou nécessité morale de réparer une faute, de remplir un devoir, un engagement</w:t>
            </w:r>
            <w:r w:rsidR="0034116B"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</w:t>
            </w:r>
            <w:r w:rsidR="00E9230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                               </w:t>
            </w:r>
            <w:r w:rsidR="0034116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La responsabilité</w:t>
            </w:r>
            <w:r w:rsidR="0034116B"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environnementale (obligation individuelle et collective de protéger l’environnement et de réparer les dommages causés)                                    -</w:t>
            </w:r>
            <w:r w:rsidR="0034116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Interdépendance humanité-nature (</w:t>
            </w:r>
            <w:r w:rsidR="0034116B" w:rsidRPr="00522F2D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caractère indissociable entre l’existence de l’humanité et le milieu naturel.</w:t>
            </w:r>
            <w:r w:rsidR="0034116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</w:t>
            </w:r>
          </w:p>
          <w:p w:rsidR="0034116B" w:rsidRPr="000C5A17" w:rsidRDefault="0034116B" w:rsidP="000C5A17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4116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Culture de la sensibilité : </w:t>
            </w:r>
            <w:r w:rsidRPr="003411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je réagis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6B" w:rsidRPr="007A4D9B" w:rsidRDefault="0034116B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A4D9B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1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Faire réagir spontanément les </w:t>
            </w:r>
            <w:proofErr w:type="gramStart"/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élèves </w:t>
            </w:r>
            <w:r w:rsid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.</w:t>
            </w:r>
            <w:proofErr w:type="gramEnd"/>
          </w:p>
          <w:p w:rsidR="0034116B" w:rsidRPr="007A4D9B" w:rsidRDefault="0034116B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A4D9B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2</w:t>
            </w:r>
            <w:r w:rsidR="00EA4952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Chaque élève choisit u</w:t>
            </w:r>
            <w:r w:rsid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ne affiche et justifie.</w:t>
            </w:r>
          </w:p>
          <w:p w:rsidR="00E92305" w:rsidRPr="007A4D9B" w:rsidRDefault="0034116B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A4D9B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3</w:t>
            </w:r>
            <w:r w:rsidR="00EA4952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Q</w:t>
            </w:r>
            <w:r w:rsidR="00E92305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uestions orales pour </w:t>
            </w:r>
            <w:r w:rsidR="00EA4952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approfondir.</w:t>
            </w:r>
          </w:p>
          <w:p w:rsidR="00C86CC3" w:rsidRPr="007A4D9B" w:rsidRDefault="0034116B" w:rsidP="002B1CF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A4D9B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4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Dévoiler le</w:t>
            </w:r>
            <w:r w:rsidR="00EA4952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titre du thème et faire le lien avec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les af</w:t>
            </w:r>
            <w:r w:rsidR="00616B6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fiches ; élaborer collectivement une </w:t>
            </w:r>
            <w:r w:rsidR="00EA4952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définition intuitive de la 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responsabilité environnementale</w:t>
            </w:r>
            <w:r w:rsidR="00616B6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; puis formuler</w:t>
            </w:r>
            <w:r w:rsidR="00EA4952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la problématique de la séquence</w:t>
            </w:r>
            <w:r w:rsidR="00C86CC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… 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16B" w:rsidRPr="002A0504" w:rsidRDefault="0034116B" w:rsidP="008F35B0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34116B" w:rsidRPr="002A0504" w:rsidRDefault="0034116B" w:rsidP="0070085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-Affiches de la campagne de communication officielle de la COP 21 </w:t>
            </w:r>
          </w:p>
          <w:p w:rsidR="0034116B" w:rsidRPr="002A0504" w:rsidRDefault="005850E9" w:rsidP="0070085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hyperlink r:id="rId6" w:history="1">
              <w:r w:rsidR="0034116B" w:rsidRPr="002A0504">
                <w:rPr>
                  <w:rStyle w:val="Lienhypertexte"/>
                  <w:rFonts w:eastAsia="Times New Roman"/>
                  <w:sz w:val="20"/>
                  <w:szCs w:val="20"/>
                  <w:lang w:eastAsia="fr-FR"/>
                </w:rPr>
                <w:t>http://www.cop21.gouv.fr/wp-content/uploads/2015/11/mosaique_campagne.jpg</w:t>
              </w:r>
            </w:hyperlink>
          </w:p>
          <w:p w:rsidR="0034116B" w:rsidRPr="002A0504" w:rsidRDefault="0034116B" w:rsidP="0070085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34116B" w:rsidRPr="002A0504" w:rsidRDefault="0034116B" w:rsidP="000A4509">
            <w:pPr>
              <w:rPr>
                <w:sz w:val="20"/>
                <w:szCs w:val="20"/>
              </w:rPr>
            </w:pPr>
            <w:r w:rsidRPr="002A050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 w:rsidRPr="002A0504">
              <w:rPr>
                <w:rFonts w:ascii="Avenir Roman" w:eastAsia="Avenir Roman" w:hAnsi="Avenir Roman" w:cs="Avenir Roman"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  <w:r w:rsidRPr="002A0504">
              <w:rPr>
                <w:rFonts w:eastAsia="Times New Roman"/>
                <w:color w:val="000000"/>
                <w:sz w:val="20"/>
                <w:szCs w:val="20"/>
              </w:rPr>
              <w:t xml:space="preserve">Affiche issue d’une campagne réalisée par la Coalition climat 21, </w:t>
            </w:r>
          </w:p>
          <w:p w:rsidR="0034116B" w:rsidRPr="00EA4952" w:rsidRDefault="005850E9" w:rsidP="00EA495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hyperlink r:id="rId7" w:history="1">
              <w:r w:rsidR="0034116B" w:rsidRPr="002A0504">
                <w:rPr>
                  <w:rStyle w:val="Lienhypertexte"/>
                  <w:rFonts w:eastAsia="Times New Roman"/>
                  <w:sz w:val="20"/>
                  <w:szCs w:val="20"/>
                  <w:lang w:eastAsia="fr-FR"/>
                </w:rPr>
                <w:t>http://coalitionclimat21.org/fr/contenu/campagne-de-mobilisation</w:t>
              </w:r>
            </w:hyperlink>
          </w:p>
        </w:tc>
      </w:tr>
      <w:tr w:rsidR="00687C73" w:rsidRPr="000D6934" w:rsidTr="003F7211">
        <w:trPr>
          <w:trHeight w:val="76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63" w:rsidRDefault="00616B63" w:rsidP="008F3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687C73" w:rsidRPr="002F35BE" w:rsidRDefault="00687C73" w:rsidP="008F3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F35BE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 xml:space="preserve">Séance </w:t>
            </w:r>
            <w:r w:rsidRPr="002F35BE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1 : « 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Rechercher et exposer les connaissances nécessaires à la compréhension des enjeux de la COP 21»</w:t>
            </w:r>
          </w:p>
          <w:p w:rsidR="00687C73" w:rsidRPr="002F35BE" w:rsidRDefault="00687C73" w:rsidP="008F3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(2h</w:t>
            </w:r>
            <w:r w:rsidRPr="002F35BE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</w:t>
            </w:r>
          </w:p>
          <w:p w:rsidR="00687C73" w:rsidRPr="002F35BE" w:rsidRDefault="00687C73" w:rsidP="008F3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73" w:rsidRDefault="00687C73" w:rsidP="00687C7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Connaissances :</w:t>
            </w:r>
            <w:r w:rsidR="009416F4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 xml:space="preserve">                                                                          </w:t>
            </w:r>
            <w:r w:rsidRPr="003A0E55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-Sommet de Rio, Protocole de Kyoto ; Conférence de Copenhague</w:t>
            </w:r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, 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COP 21 ; accord contraignant) ; </w:t>
            </w:r>
            <w:r w:rsidRPr="009F586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GIEC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; réchauffement climatique ; effet de serre.</w:t>
            </w:r>
            <w:r w:rsidR="00073E2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                          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Différence entre une Charte et une loi ; Principes de </w:t>
            </w:r>
            <w:r w:rsidRPr="006D1F86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développement durable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, de prévention, de </w:t>
            </w:r>
            <w:r w:rsidRPr="006D1F86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précaution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9416F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principe </w:t>
            </w:r>
            <w:r w:rsidR="009416F4" w:rsidRPr="006D1F86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pollueur-payeur</w:t>
            </w:r>
            <w:r w:rsidR="009416F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.</w:t>
            </w:r>
          </w:p>
          <w:p w:rsidR="007A4D9B" w:rsidRPr="009416F4" w:rsidRDefault="007A4D9B" w:rsidP="00687C73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</w:pPr>
            <w:r w:rsidRPr="002C67EC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Compétences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 : Définir plus précisément les principes identifiés précédemment </w:t>
            </w:r>
          </w:p>
          <w:p w:rsidR="00687C73" w:rsidRDefault="00687C73" w:rsidP="00073E21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C67EC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Capacités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:</w:t>
            </w:r>
            <w:r w:rsidR="009416F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-Relever, classer et hiérarchiser les informations contenues dans des documents                       </w:t>
            </w:r>
            <w:r w:rsidR="00073E2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</w:t>
            </w:r>
            <w:r w:rsidR="00073E2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-Exposer à l’oral une synthèse écrite                                             </w:t>
            </w:r>
            <w:r w:rsidR="00247F5A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          </w:t>
            </w:r>
            <w:r w:rsidR="00312DE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Prendre en notes un exposé.</w:t>
            </w:r>
          </w:p>
          <w:p w:rsidR="00FF05FD" w:rsidRPr="00FF05FD" w:rsidRDefault="00FF05FD" w:rsidP="00073E21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Culture du droit et de la règle</w:t>
            </w:r>
            <w:r w:rsidRPr="0034116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je m’informe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D9B" w:rsidRDefault="007A4D9B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7A4D9B" w:rsidRPr="007A4D9B" w:rsidRDefault="00687C73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A4D9B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1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(1h30) Recherche d’informations par groupes </w:t>
            </w:r>
            <w:r w:rsidR="00390ADA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(3) 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à partir de dossiers documentaires déjà constitués qui leurs sont proposés, (voir supports) :</w:t>
            </w:r>
          </w:p>
          <w:p w:rsidR="00C47884" w:rsidRDefault="00687C73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A4D9B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2</w:t>
            </w:r>
            <w:r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</w:t>
            </w:r>
            <w:r w:rsid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Chaque groupe rédige une synthèse écrite et rédige les définitions des mots-clés (autant de notes qui serviront pour le projet d’exposition)</w:t>
            </w:r>
          </w:p>
          <w:p w:rsidR="00983840" w:rsidRDefault="00983840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87C73" w:rsidRPr="007A4D9B" w:rsidRDefault="00C47884" w:rsidP="007A4D9B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C47884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3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</w:t>
            </w:r>
            <w:r w:rsidR="00687C73" w:rsidRP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 exposés de 10’ pris en notes par le reste de la classe.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73" w:rsidRDefault="00500601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 w:rsidR="00DA0C0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</w:t>
            </w:r>
            <w:r w:rsidR="00687C7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ocument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internet </w:t>
            </w:r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sur</w:t>
            </w:r>
            <w:r w:rsidR="00687C7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la prise de conscien</w:t>
            </w:r>
            <w:r w:rsid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ce des enjeux environnementaux ;</w:t>
            </w:r>
          </w:p>
          <w:p w:rsidR="007A4D9B" w:rsidRDefault="007A4D9B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87C73" w:rsidRDefault="00687C73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Doc</w:t>
            </w:r>
            <w:r w:rsidR="00DA0C0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ument</w:t>
            </w:r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internet sur</w:t>
            </w:r>
            <w:r w:rsidR="0050060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les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objectif</w:t>
            </w:r>
            <w:r w:rsidR="0050060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de la COP 21</w:t>
            </w:r>
            <w:r w:rsidR="007A4D9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;</w:t>
            </w:r>
          </w:p>
          <w:p w:rsidR="007A4D9B" w:rsidRDefault="007A4D9B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87C73" w:rsidRDefault="00687C73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 w:rsidR="0050060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Dossier documentaire sur </w:t>
            </w:r>
            <w:r w:rsidR="00500601" w:rsidRPr="00803D19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la Déclaration de </w:t>
            </w:r>
            <w:proofErr w:type="spellStart"/>
            <w:r w:rsidR="00500601" w:rsidRPr="00803D19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Stockolm</w:t>
            </w:r>
            <w:proofErr w:type="spellEnd"/>
            <w:r w:rsidR="0050060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(1972) le développement durable </w:t>
            </w:r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</w:t>
            </w:r>
            <w:r w:rsidR="00EA4952" w:rsidRPr="00803D19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rapport Brundtland</w:t>
            </w:r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de 1987</w:t>
            </w:r>
            <w:proofErr w:type="gramStart"/>
            <w:r w:rsidR="00EA495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</w:t>
            </w:r>
            <w:r w:rsidR="0050060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et</w:t>
            </w:r>
            <w:proofErr w:type="gramEnd"/>
            <w:r w:rsidR="0050060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les principes du droit de l’environnement </w:t>
            </w:r>
          </w:p>
          <w:p w:rsidR="00687C73" w:rsidRPr="001421EB" w:rsidRDefault="007A4D9B" w:rsidP="00EA495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</w:t>
            </w:r>
            <w:r w:rsidR="00687C7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Ch</w:t>
            </w:r>
            <w:bookmarkStart w:id="0" w:name="_GoBack"/>
            <w:bookmarkEnd w:id="0"/>
            <w:r w:rsidR="00687C73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arte de l’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environnement 2005).</w:t>
            </w:r>
          </w:p>
        </w:tc>
      </w:tr>
      <w:tr w:rsidR="00247F5A" w:rsidRPr="00100201" w:rsidTr="003F7211">
        <w:trPr>
          <w:trHeight w:val="76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Pr="004327F0" w:rsidRDefault="00247F5A" w:rsidP="008F35B0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>Séance 2 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«</w:t>
            </w:r>
            <w:r w:rsidR="008453D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Formul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ati</w:t>
            </w:r>
            <w:r w:rsidR="008453D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on de la question et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préparation des argumentaires du débat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»</w:t>
            </w:r>
          </w:p>
          <w:p w:rsidR="00247F5A" w:rsidRDefault="00247F5A" w:rsidP="008F3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(1h30)</w:t>
            </w:r>
          </w:p>
          <w:p w:rsidR="00247F5A" w:rsidRPr="00F105FF" w:rsidRDefault="00247F5A" w:rsidP="00185A42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Default="00247F5A" w:rsidP="008106C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C67EC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Compétences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:</w:t>
            </w:r>
            <w:r w:rsidR="001D101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 w:rsidR="00FF05FD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Mobiliser les connaissances et 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’impliquer dans le travail en équipes.</w:t>
            </w:r>
          </w:p>
          <w:p w:rsidR="00247F5A" w:rsidRDefault="00247F5A" w:rsidP="008106C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C67EC"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Capacités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:</w:t>
            </w:r>
            <w:r w:rsidR="001D101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-Relever, classer et hiérarchiser les informations contenues dans des documents</w:t>
            </w:r>
          </w:p>
          <w:p w:rsidR="00247F5A" w:rsidRPr="00135F55" w:rsidRDefault="00247F5A" w:rsidP="007E495E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fr-FR"/>
              </w:rPr>
              <w:t>Connaissances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 :</w:t>
            </w:r>
            <w:r w:rsidR="001D1019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</w:t>
            </w:r>
            <w:r w:rsidR="00185A4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Altermondialistes</w:t>
            </w:r>
            <w:r w:rsidR="00D57CE8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 ;</w:t>
            </w:r>
            <w:r w:rsidR="001D1019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</w:t>
            </w:r>
            <w:r w:rsidR="00D57CE8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-Réinvestir les connaissances sur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les moyens d’action non-violents, la désobéissance civile</w:t>
            </w:r>
            <w:r w:rsidR="00D57CE8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vues en histoire avec la situation sur Gandhi                                                        </w:t>
            </w:r>
            <w:r w:rsidR="001D101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Greenwashing</w:t>
            </w:r>
            <w:proofErr w:type="spellEnd"/>
            <w:r w:rsidR="001D101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Default="00247F5A" w:rsidP="00682560">
            <w:pPr>
              <w:pStyle w:val="Titre1"/>
              <w:rPr>
                <w:rStyle w:val="watch-title"/>
                <w:b w:val="0"/>
                <w:sz w:val="20"/>
                <w:szCs w:val="20"/>
              </w:rPr>
            </w:pPr>
            <w:r w:rsidRPr="00947979">
              <w:rPr>
                <w:b w:val="0"/>
                <w:color w:val="000000"/>
                <w:sz w:val="20"/>
                <w:szCs w:val="20"/>
                <w:u w:val="single"/>
              </w:rPr>
              <w:t>Activité 1</w:t>
            </w:r>
            <w:r>
              <w:rPr>
                <w:color w:val="000000"/>
                <w:sz w:val="20"/>
                <w:szCs w:val="20"/>
              </w:rPr>
              <w:t xml:space="preserve"> = </w:t>
            </w:r>
            <w:r w:rsidR="00135F55">
              <w:rPr>
                <w:rStyle w:val="watch-title"/>
                <w:b w:val="0"/>
                <w:sz w:val="20"/>
                <w:szCs w:val="20"/>
              </w:rPr>
              <w:t>Visionnage 3</w:t>
            </w:r>
            <w:r w:rsidR="00682560">
              <w:rPr>
                <w:rStyle w:val="watch-title"/>
                <w:b w:val="0"/>
                <w:sz w:val="20"/>
                <w:szCs w:val="20"/>
              </w:rPr>
              <w:t xml:space="preserve"> courts reportages </w:t>
            </w:r>
            <w:r w:rsidRPr="00F105FF">
              <w:rPr>
                <w:rStyle w:val="watch-title"/>
                <w:b w:val="0"/>
                <w:sz w:val="20"/>
                <w:szCs w:val="20"/>
              </w:rPr>
              <w:t>:</w:t>
            </w:r>
          </w:p>
          <w:p w:rsidR="000D53E6" w:rsidRDefault="00247F5A" w:rsidP="000D53E6">
            <w:pPr>
              <w:pStyle w:val="Titre1"/>
              <w:rPr>
                <w:rStyle w:val="Lienhypertexte"/>
                <w:rFonts w:asciiTheme="minorHAnsi" w:hAnsiTheme="minorHAnsi"/>
                <w:i/>
                <w:color w:val="auto"/>
                <w:sz w:val="20"/>
                <w:szCs w:val="20"/>
                <w:u w:val="none"/>
              </w:rPr>
            </w:pPr>
            <w:r w:rsidRPr="00947979">
              <w:rPr>
                <w:rStyle w:val="watch-title"/>
                <w:b w:val="0"/>
                <w:sz w:val="20"/>
                <w:szCs w:val="20"/>
                <w:u w:val="single"/>
              </w:rPr>
              <w:t>Activité 2</w:t>
            </w:r>
            <w:r>
              <w:rPr>
                <w:rStyle w:val="watch-title"/>
                <w:b w:val="0"/>
                <w:sz w:val="20"/>
                <w:szCs w:val="20"/>
              </w:rPr>
              <w:t xml:space="preserve"> = Élaboratio</w:t>
            </w:r>
            <w:r w:rsidR="006D1F86">
              <w:rPr>
                <w:rStyle w:val="watch-title"/>
                <w:b w:val="0"/>
                <w:sz w:val="20"/>
                <w:szCs w:val="20"/>
              </w:rPr>
              <w:t>n collective de la question</w:t>
            </w:r>
            <w:r>
              <w:rPr>
                <w:rStyle w:val="watch-title"/>
                <w:b w:val="0"/>
                <w:sz w:val="20"/>
                <w:szCs w:val="20"/>
              </w:rPr>
              <w:t xml:space="preserve"> du débat</w:t>
            </w:r>
            <w:r w:rsidR="000D53E6">
              <w:rPr>
                <w:rStyle w:val="watch-title"/>
                <w:b w:val="0"/>
                <w:sz w:val="20"/>
                <w:szCs w:val="20"/>
              </w:rPr>
              <w:t xml:space="preserve"> : </w:t>
            </w:r>
            <w:r w:rsidR="006D1F86">
              <w:rPr>
                <w:rStyle w:val="watch-title"/>
                <w:b w:val="0"/>
                <w:sz w:val="20"/>
                <w:szCs w:val="20"/>
              </w:rPr>
              <w:t xml:space="preserve">(exemple de question possible)                     </w:t>
            </w:r>
            <w:r w:rsidR="000D53E6">
              <w:rPr>
                <w:rStyle w:val="watch-title"/>
                <w:b w:val="0"/>
                <w:sz w:val="20"/>
                <w:szCs w:val="20"/>
              </w:rPr>
              <w:t>« </w:t>
            </w:r>
            <w:r w:rsidR="000D53E6" w:rsidRPr="000D53E6">
              <w:rPr>
                <w:rStyle w:val="Lienhypertexte"/>
                <w:rFonts w:asciiTheme="minorHAnsi" w:hAnsiTheme="minorHAnsi"/>
                <w:i/>
                <w:color w:val="auto"/>
                <w:sz w:val="20"/>
                <w:szCs w:val="20"/>
                <w:u w:val="none"/>
              </w:rPr>
              <w:t>Pour assumer sa part de la responsabilité environnementale en luttant contre le réchauffement climatique, quelle mobilisation citoyenne faut-il privilégier ?</w:t>
            </w:r>
            <w:r w:rsidR="000D53E6">
              <w:rPr>
                <w:rStyle w:val="Lienhypertexte"/>
                <w:rFonts w:asciiTheme="minorHAnsi" w:hAnsiTheme="minorHAnsi"/>
                <w:i/>
                <w:color w:val="auto"/>
                <w:sz w:val="20"/>
                <w:szCs w:val="20"/>
                <w:u w:val="none"/>
              </w:rPr>
              <w:t> »</w:t>
            </w:r>
          </w:p>
          <w:p w:rsidR="00247F5A" w:rsidRPr="00135F55" w:rsidRDefault="00247F5A" w:rsidP="00135F55">
            <w:pPr>
              <w:pStyle w:val="Titre1"/>
              <w:rPr>
                <w:b w:val="0"/>
                <w:sz w:val="20"/>
                <w:szCs w:val="20"/>
              </w:rPr>
            </w:pPr>
            <w:r w:rsidRPr="00947979">
              <w:rPr>
                <w:rStyle w:val="watch-title"/>
                <w:b w:val="0"/>
                <w:sz w:val="20"/>
                <w:szCs w:val="20"/>
                <w:u w:val="single"/>
              </w:rPr>
              <w:t>Activité 3</w:t>
            </w:r>
            <w:r>
              <w:rPr>
                <w:rStyle w:val="watch-title"/>
                <w:b w:val="0"/>
                <w:sz w:val="20"/>
                <w:szCs w:val="20"/>
              </w:rPr>
              <w:t xml:space="preserve"> = </w:t>
            </w:r>
            <w:r w:rsidR="000D53E6">
              <w:rPr>
                <w:rStyle w:val="watch-title"/>
                <w:b w:val="0"/>
                <w:sz w:val="20"/>
                <w:szCs w:val="20"/>
              </w:rPr>
              <w:t>C</w:t>
            </w:r>
            <w:r w:rsidR="000D53E6">
              <w:rPr>
                <w:rStyle w:val="watch-title"/>
                <w:b w:val="0"/>
                <w:sz w:val="20"/>
                <w:szCs w:val="20"/>
              </w:rPr>
              <w:t>onstitution des groupes et é</w:t>
            </w:r>
            <w:r>
              <w:rPr>
                <w:rStyle w:val="watch-title"/>
                <w:b w:val="0"/>
                <w:sz w:val="20"/>
                <w:szCs w:val="20"/>
              </w:rPr>
              <w:t>laboration des argumentaires</w:t>
            </w:r>
            <w:r w:rsidR="00135F55">
              <w:rPr>
                <w:rStyle w:val="watch-title"/>
                <w:b w:val="0"/>
                <w:sz w:val="20"/>
                <w:szCs w:val="20"/>
              </w:rPr>
              <w:t xml:space="preserve"> à partir des informations issues des reportages vidéo et d’articles de presse associés.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Pr="00682560" w:rsidRDefault="00247F5A" w:rsidP="00F105FF">
            <w:pPr>
              <w:pStyle w:val="Titre1"/>
              <w:rPr>
                <w:b w:val="0"/>
                <w:sz w:val="18"/>
                <w:szCs w:val="18"/>
              </w:rPr>
            </w:pPr>
            <w:r w:rsidRPr="00F105FF">
              <w:rPr>
                <w:rStyle w:val="watch-title"/>
                <w:b w:val="0"/>
                <w:sz w:val="20"/>
                <w:szCs w:val="20"/>
              </w:rPr>
              <w:t>-</w:t>
            </w:r>
            <w:r w:rsidR="00682560">
              <w:rPr>
                <w:rStyle w:val="watch-title"/>
                <w:b w:val="0"/>
                <w:sz w:val="20"/>
                <w:szCs w:val="20"/>
              </w:rPr>
              <w:t xml:space="preserve">la COP 21 vu par un journal altermondialiste </w:t>
            </w:r>
            <w:r w:rsidRPr="00682560">
              <w:rPr>
                <w:sz w:val="18"/>
                <w:szCs w:val="18"/>
              </w:rPr>
              <w:t xml:space="preserve"> </w:t>
            </w:r>
          </w:p>
          <w:p w:rsidR="00247F5A" w:rsidRPr="0034116B" w:rsidRDefault="00247F5A" w:rsidP="00F105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34116B">
              <w:rPr>
                <w:sz w:val="20"/>
                <w:szCs w:val="20"/>
              </w:rPr>
              <w:t>-</w:t>
            </w:r>
            <w:r w:rsidR="00135F5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clip de Nicolas Hulot, qui sensibilise les jeunes aux enjeux de la COP 21</w:t>
            </w:r>
          </w:p>
          <w:p w:rsidR="00247F5A" w:rsidRDefault="00247F5A" w:rsidP="00F105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247F5A" w:rsidRDefault="00247F5A" w:rsidP="00F105F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247F5A" w:rsidRPr="001D1019" w:rsidRDefault="00247F5A" w:rsidP="00135F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-</w:t>
            </w:r>
            <w:r>
              <w:t xml:space="preserve"> Reportage </w:t>
            </w:r>
            <w:r w:rsidR="00682560">
              <w:t xml:space="preserve">sur une </w:t>
            </w:r>
            <w:r w:rsidR="00135F55">
              <w:t xml:space="preserve">action </w:t>
            </w:r>
            <w:r w:rsidR="00601C1E">
              <w:t xml:space="preserve">spectaculaire (un vol de chaises dans une agence bancaire) </w:t>
            </w:r>
            <w:r w:rsidR="00682560">
              <w:t>menée par une organisation altermondialiste</w:t>
            </w:r>
            <w:r w:rsidR="00601C1E">
              <w:t>.</w:t>
            </w:r>
            <w:r w:rsidR="00682560">
              <w:t xml:space="preserve"> </w:t>
            </w:r>
          </w:p>
        </w:tc>
      </w:tr>
      <w:tr w:rsidR="00247F5A" w:rsidRPr="00100201" w:rsidTr="00312DE0">
        <w:trPr>
          <w:trHeight w:val="1788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Default="00247F5A" w:rsidP="00795B5F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Séance 3 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«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Préparation formelle au débat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 »</w:t>
            </w:r>
          </w:p>
          <w:p w:rsidR="00247F5A" w:rsidRPr="004B7CE0" w:rsidRDefault="00247F5A" w:rsidP="00795B5F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(1h)</w:t>
            </w:r>
          </w:p>
          <w:p w:rsidR="00247F5A" w:rsidRPr="00185A42" w:rsidRDefault="00247F5A" w:rsidP="00185A42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Default="00247F5A" w:rsidP="008205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7F5A">
              <w:rPr>
                <w:b/>
                <w:sz w:val="20"/>
                <w:szCs w:val="20"/>
                <w:u w:val="single"/>
              </w:rPr>
              <w:t>Capacités</w:t>
            </w:r>
            <w:r>
              <w:rPr>
                <w:sz w:val="20"/>
                <w:szCs w:val="20"/>
              </w:rPr>
              <w:t xml:space="preserve"> = Repérer les qualités d’écoute et d’expression nécessaires au débat (respect de l’autre, posture adaptée, débit de parole, articulation logique, qualité de langue, etc…)</w:t>
            </w:r>
          </w:p>
          <w:p w:rsidR="00247F5A" w:rsidRPr="00FF05FD" w:rsidRDefault="00247F5A" w:rsidP="00247F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47F5A">
              <w:rPr>
                <w:b/>
                <w:sz w:val="20"/>
                <w:szCs w:val="20"/>
                <w:u w:val="single"/>
              </w:rPr>
              <w:t>Connaissances</w:t>
            </w:r>
            <w:r>
              <w:rPr>
                <w:sz w:val="20"/>
                <w:szCs w:val="20"/>
              </w:rPr>
              <w:t> </w:t>
            </w:r>
            <w:r w:rsidRPr="00FF05FD">
              <w:rPr>
                <w:sz w:val="20"/>
                <w:szCs w:val="20"/>
              </w:rPr>
              <w:t>:</w:t>
            </w:r>
            <w:r w:rsidR="00FF05FD" w:rsidRPr="00FF05FD">
              <w:rPr>
                <w:sz w:val="20"/>
                <w:szCs w:val="20"/>
              </w:rPr>
              <w:t xml:space="preserve"> </w:t>
            </w:r>
            <w:r w:rsidR="00FF05FD" w:rsidRPr="00FF05FD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les procédés rhétoriques des orateurs et les éléments non-verbaux du</w:t>
            </w:r>
            <w:r w:rsidR="00312DE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langage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86" w:rsidRDefault="00247F5A" w:rsidP="008157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47F5A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1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</w:t>
            </w:r>
            <w:r>
              <w:rPr>
                <w:sz w:val="20"/>
                <w:szCs w:val="20"/>
              </w:rPr>
              <w:t xml:space="preserve">Visionnage d’un </w:t>
            </w:r>
            <w:r w:rsidR="00EE15C0">
              <w:rPr>
                <w:sz w:val="20"/>
                <w:szCs w:val="20"/>
              </w:rPr>
              <w:t xml:space="preserve">extrait de </w:t>
            </w:r>
            <w:r>
              <w:rPr>
                <w:sz w:val="20"/>
                <w:szCs w:val="20"/>
              </w:rPr>
              <w:t>débat d’élèves filmé</w:t>
            </w:r>
          </w:p>
          <w:p w:rsidR="00247F5A" w:rsidRDefault="00247F5A" w:rsidP="008157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5A42">
              <w:rPr>
                <w:sz w:val="20"/>
                <w:szCs w:val="20"/>
                <w:u w:val="single"/>
              </w:rPr>
              <w:t>Activité 2</w:t>
            </w:r>
            <w:r>
              <w:rPr>
                <w:sz w:val="20"/>
                <w:szCs w:val="20"/>
              </w:rPr>
              <w:t xml:space="preserve"> </w:t>
            </w:r>
            <w:r w:rsidR="00185A42">
              <w:rPr>
                <w:sz w:val="20"/>
                <w:szCs w:val="20"/>
              </w:rPr>
              <w:t xml:space="preserve"> = Formalisation des règles du débat</w:t>
            </w:r>
          </w:p>
          <w:p w:rsidR="00185A42" w:rsidRPr="00100201" w:rsidRDefault="00185A42" w:rsidP="0081573E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185A42">
              <w:rPr>
                <w:sz w:val="20"/>
                <w:szCs w:val="20"/>
                <w:u w:val="single"/>
              </w:rPr>
              <w:t>Activité 3</w:t>
            </w:r>
            <w:r>
              <w:rPr>
                <w:sz w:val="20"/>
                <w:szCs w:val="20"/>
              </w:rPr>
              <w:t xml:space="preserve"> = Élaboration collective d’une grille d’évaluation du débat.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5A" w:rsidRDefault="00247F5A" w:rsidP="008205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-débat d’élèves filmé :</w:t>
            </w:r>
          </w:p>
          <w:p w:rsidR="00247F5A" w:rsidRDefault="005850E9" w:rsidP="0082055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hyperlink r:id="rId8" w:history="1">
              <w:r w:rsidR="00247F5A" w:rsidRPr="00104FCC">
                <w:rPr>
                  <w:rStyle w:val="Lienhypertexte"/>
                  <w:rFonts w:ascii="Times New Roman" w:eastAsia="Times New Roman" w:hAnsi="Times New Roman"/>
                  <w:sz w:val="20"/>
                  <w:szCs w:val="20"/>
                  <w:lang w:eastAsia="fr-FR"/>
                </w:rPr>
                <w:t>https://www.youtube.com/watch?v=7WAgS6s0YmU</w:t>
              </w:r>
            </w:hyperlink>
          </w:p>
          <w:p w:rsidR="00247F5A" w:rsidRDefault="00247F5A" w:rsidP="00820558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247F5A" w:rsidRPr="00100201" w:rsidRDefault="00247F5A" w:rsidP="0082055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A73B3" w:rsidRPr="00100201" w:rsidTr="00312DE0">
        <w:trPr>
          <w:trHeight w:val="289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Default="00A366CA" w:rsidP="00820558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2A73B3" w:rsidRDefault="002A73B3" w:rsidP="00820558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Séance 4 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«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Organisation du débat</w:t>
            </w:r>
            <w:r w:rsidRPr="004327F0">
              <w:rPr>
                <w:rFonts w:eastAsia="Times New Roman"/>
                <w:b/>
                <w:i/>
                <w:color w:val="000000"/>
                <w:sz w:val="20"/>
                <w:szCs w:val="20"/>
                <w:lang w:eastAsia="fr-FR"/>
              </w:rPr>
              <w:t> »</w:t>
            </w:r>
          </w:p>
          <w:p w:rsidR="002A73B3" w:rsidRPr="004B7CE0" w:rsidRDefault="002A73B3" w:rsidP="00820558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(1h)</w:t>
            </w:r>
          </w:p>
          <w:p w:rsidR="002A73B3" w:rsidRPr="00100201" w:rsidRDefault="002A73B3" w:rsidP="008F3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3" w:rsidRPr="00A366CA" w:rsidRDefault="002A73B3" w:rsidP="00A366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F05FD">
              <w:rPr>
                <w:b/>
                <w:sz w:val="20"/>
                <w:szCs w:val="20"/>
                <w:u w:val="single"/>
              </w:rPr>
              <w:t>Compétences</w:t>
            </w:r>
            <w:r>
              <w:rPr>
                <w:sz w:val="20"/>
                <w:szCs w:val="20"/>
              </w:rPr>
              <w:t> : -Développer l’expression orale personnelle, l’argumentation et le sens critique.</w:t>
            </w:r>
            <w:r w:rsidR="00A366CA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6406A9" w:rsidRDefault="002A73B3" w:rsidP="009644C1">
            <w:pPr>
              <w:tabs>
                <w:tab w:val="left" w:pos="4125"/>
              </w:tabs>
              <w:rPr>
                <w:sz w:val="20"/>
                <w:szCs w:val="20"/>
              </w:rPr>
            </w:pPr>
            <w:r w:rsidRPr="004B7CE0">
              <w:rPr>
                <w:sz w:val="20"/>
                <w:szCs w:val="20"/>
                <w:u w:val="single"/>
              </w:rPr>
              <w:t>Capacités</w:t>
            </w:r>
            <w:r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</w:rPr>
              <w:t>:</w:t>
            </w:r>
            <w:r w:rsidR="009644C1">
              <w:rPr>
                <w:sz w:val="20"/>
                <w:szCs w:val="20"/>
              </w:rPr>
              <w:t xml:space="preserve">  </w:t>
            </w:r>
          </w:p>
          <w:p w:rsidR="009644C1" w:rsidRDefault="002A73B3" w:rsidP="009644C1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06A9">
              <w:rPr>
                <w:sz w:val="20"/>
                <w:szCs w:val="20"/>
              </w:rPr>
              <w:t>(</w:t>
            </w:r>
            <w:proofErr w:type="spellStart"/>
            <w:r w:rsidR="009644C1">
              <w:rPr>
                <w:sz w:val="20"/>
                <w:szCs w:val="20"/>
              </w:rPr>
              <w:t>A</w:t>
            </w:r>
            <w:proofErr w:type="spellEnd"/>
            <w:r w:rsidR="009644C1">
              <w:rPr>
                <w:sz w:val="20"/>
                <w:szCs w:val="20"/>
              </w:rPr>
              <w:t xml:space="preserve"> l’oral</w:t>
            </w:r>
            <w:r w:rsidR="006406A9">
              <w:rPr>
                <w:sz w:val="20"/>
                <w:szCs w:val="20"/>
              </w:rPr>
              <w:t xml:space="preserve">) </w:t>
            </w:r>
            <w:r w:rsidR="009644C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onfronter des points de vue</w:t>
            </w:r>
            <w:r w:rsidR="009644C1">
              <w:rPr>
                <w:sz w:val="20"/>
                <w:szCs w:val="20"/>
              </w:rPr>
              <w:t> ;                                     faire des concessions et  nuancer son jugement.            -</w:t>
            </w:r>
            <w:r w:rsidR="006406A9">
              <w:rPr>
                <w:sz w:val="20"/>
                <w:szCs w:val="20"/>
              </w:rPr>
              <w:t>(</w:t>
            </w:r>
            <w:proofErr w:type="spellStart"/>
            <w:r w:rsidR="009644C1">
              <w:rPr>
                <w:sz w:val="20"/>
                <w:szCs w:val="20"/>
              </w:rPr>
              <w:t>A</w:t>
            </w:r>
            <w:proofErr w:type="spellEnd"/>
            <w:r w:rsidR="009644C1">
              <w:rPr>
                <w:sz w:val="20"/>
                <w:szCs w:val="20"/>
              </w:rPr>
              <w:t xml:space="preserve"> l’écrit</w:t>
            </w:r>
            <w:r w:rsidR="006406A9">
              <w:rPr>
                <w:sz w:val="20"/>
                <w:szCs w:val="20"/>
              </w:rPr>
              <w:t xml:space="preserve">) prendre en notes des arguments échangés à l’oral ; </w:t>
            </w:r>
            <w:r w:rsidR="009644C1">
              <w:rPr>
                <w:sz w:val="20"/>
                <w:szCs w:val="20"/>
              </w:rPr>
              <w:t>d</w:t>
            </w:r>
            <w:r w:rsidR="009644C1">
              <w:rPr>
                <w:sz w:val="20"/>
                <w:szCs w:val="20"/>
              </w:rPr>
              <w:t>évelopper l’argumentation (en utilisant les connecteurs de l’opposition et de la concession).</w:t>
            </w:r>
          </w:p>
          <w:p w:rsidR="002A73B3" w:rsidRPr="00FF05FD" w:rsidRDefault="009644C1" w:rsidP="008F35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F05FD">
              <w:rPr>
                <w:b/>
                <w:sz w:val="20"/>
                <w:szCs w:val="20"/>
                <w:u w:val="single"/>
              </w:rPr>
              <w:t xml:space="preserve">Culture du jugement </w:t>
            </w:r>
            <w:r>
              <w:rPr>
                <w:sz w:val="20"/>
                <w:szCs w:val="20"/>
              </w:rPr>
              <w:t xml:space="preserve">: </w:t>
            </w:r>
            <w:r w:rsidRPr="00FF05FD">
              <w:rPr>
                <w:b/>
                <w:i/>
                <w:sz w:val="20"/>
                <w:szCs w:val="20"/>
              </w:rPr>
              <w:t>je juge, j’apprécie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Default="00A366CA" w:rsidP="002A73B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2A73B3" w:rsidRDefault="002A73B3" w:rsidP="002A73B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247F5A"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>Activité 1</w:t>
            </w:r>
            <w:r w:rsidR="00601C1E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</w:t>
            </w:r>
            <w:r w:rsidR="009644C1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Débat oral</w:t>
            </w:r>
            <w:r w:rsidR="00E419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(30’)</w:t>
            </w:r>
          </w:p>
          <w:p w:rsidR="00A366CA" w:rsidRDefault="00A366CA" w:rsidP="002A73B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2A73B3" w:rsidRDefault="002A73B3" w:rsidP="002A73B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85A42">
              <w:rPr>
                <w:sz w:val="20"/>
                <w:szCs w:val="20"/>
                <w:u w:val="single"/>
              </w:rPr>
              <w:t>Activité 2</w:t>
            </w:r>
            <w:r w:rsidR="00601C1E">
              <w:rPr>
                <w:sz w:val="20"/>
                <w:szCs w:val="20"/>
              </w:rPr>
              <w:t xml:space="preserve">  = </w:t>
            </w:r>
            <w:r w:rsidR="00BF7466">
              <w:rPr>
                <w:sz w:val="20"/>
                <w:szCs w:val="20"/>
              </w:rPr>
              <w:t>Bilan du débat</w:t>
            </w:r>
            <w:r w:rsidR="006406A9">
              <w:rPr>
                <w:sz w:val="20"/>
                <w:szCs w:val="20"/>
              </w:rPr>
              <w:t xml:space="preserve"> grâce au compte-rendu des évaluateurs et des secrétaires de séances</w:t>
            </w:r>
            <w:r w:rsidR="00A366CA">
              <w:rPr>
                <w:sz w:val="20"/>
                <w:szCs w:val="20"/>
              </w:rPr>
              <w:t>.</w:t>
            </w:r>
          </w:p>
          <w:p w:rsidR="002A73B3" w:rsidRPr="00100201" w:rsidRDefault="002A73B3" w:rsidP="0081573E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B3" w:rsidRDefault="002A73B3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406A9" w:rsidRDefault="006406A9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-Les argumentaires élaborés lors de la séance 3.</w:t>
            </w:r>
          </w:p>
          <w:p w:rsidR="00A366CA" w:rsidRDefault="00A366CA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406A9" w:rsidRDefault="006406A9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-La fiche des règles du débat, élaborée précédemment.</w:t>
            </w:r>
          </w:p>
          <w:p w:rsidR="00A366CA" w:rsidRDefault="00A366CA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6406A9" w:rsidRDefault="006406A9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-Les fiches d’évaluation du débat </w:t>
            </w:r>
          </w:p>
          <w:p w:rsidR="006406A9" w:rsidRPr="00100201" w:rsidRDefault="006406A9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366CA" w:rsidRPr="00100201" w:rsidTr="00983840">
        <w:trPr>
          <w:trHeight w:val="74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Default="00A366CA" w:rsidP="00820558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366CA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Évaluation</w:t>
            </w:r>
          </w:p>
          <w:p w:rsidR="003B4E69" w:rsidRPr="003B4E69" w:rsidRDefault="003B4E69" w:rsidP="00820558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B4E6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(30’)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Pr="00A366CA" w:rsidRDefault="00A366CA" w:rsidP="00A366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F05FD">
              <w:rPr>
                <w:b/>
                <w:sz w:val="20"/>
                <w:szCs w:val="20"/>
                <w:u w:val="single"/>
              </w:rPr>
              <w:t>Compétences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Développer l’expression écrite et l’argumentation (en utilisant les connecteurs de l’opposition et de la concession).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Default="00983840" w:rsidP="002A73B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 xml:space="preserve">Activité </w:t>
            </w:r>
            <w:r w:rsidRP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=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Chaque élève</w:t>
            </w:r>
            <w:r w:rsidR="0053234A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rédige par écrit une réponse à la question du débat en rappelant 3 arguments différents et en ajoutant son opinion personnelle.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Default="0053234A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-Bilan établi par les secrétaires de séance.</w:t>
            </w:r>
          </w:p>
        </w:tc>
      </w:tr>
      <w:tr w:rsidR="00A366CA" w:rsidRPr="00100201" w:rsidTr="00A366CA">
        <w:trPr>
          <w:trHeight w:val="69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Pr="00983840" w:rsidRDefault="00A366CA" w:rsidP="00820558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98384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Prolongement possible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E69" w:rsidRDefault="003B4E69" w:rsidP="00A366CA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  <w:p w:rsidR="00A366CA" w:rsidRDefault="00A366CA" w:rsidP="00A366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Culture de l’engag</w:t>
            </w:r>
            <w:r w:rsidRPr="00FF05FD">
              <w:rPr>
                <w:b/>
                <w:sz w:val="20"/>
                <w:szCs w:val="20"/>
                <w:u w:val="single"/>
              </w:rPr>
              <w:t xml:space="preserve">ement 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je m’engage</w:t>
            </w:r>
            <w:r>
              <w:rPr>
                <w:sz w:val="20"/>
                <w:szCs w:val="20"/>
              </w:rPr>
              <w:t>.</w:t>
            </w:r>
          </w:p>
          <w:p w:rsidR="00A366CA" w:rsidRPr="00FF05FD" w:rsidRDefault="00A366CA" w:rsidP="00A366CA">
            <w:pPr>
              <w:spacing w:before="100" w:beforeAutospacing="1" w:after="100" w:afterAutospacing="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Pr="00A366CA" w:rsidRDefault="00A366CA" w:rsidP="002A73B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fr-FR"/>
              </w:rPr>
              <w:t xml:space="preserve">Activité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= A partir des affich</w:t>
            </w:r>
            <w:r w:rsid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es, des recherches doc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des définitions des mots-clés, de la question du débat, des notes prises par les secrétaires et de la  synthèse écrite (évaluation),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construire plusieurs panneaux</w:t>
            </w:r>
            <w:r w:rsid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pour une expo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au CDI, </w:t>
            </w:r>
            <w:r w:rsid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avec glossaire inclus,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montrée au public extérieur lors de </w:t>
            </w:r>
            <w:r w:rsidR="00933F2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la journée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porte</w:t>
            </w:r>
            <w:r w:rsidR="00933F2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s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ouvertes</w:t>
            </w:r>
            <w:r w:rsidR="0098384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CA" w:rsidRDefault="0053234A" w:rsidP="008F35B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-Tous les écrits des élèves et documents accumulés dans leur dossier consacré à l’EMC </w:t>
            </w:r>
          </w:p>
        </w:tc>
      </w:tr>
    </w:tbl>
    <w:p w:rsidR="00997E79" w:rsidRPr="00100201" w:rsidRDefault="00997E79"/>
    <w:sectPr w:rsidR="00997E79" w:rsidRPr="00100201" w:rsidSect="00522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CD5"/>
    <w:multiLevelType w:val="hybridMultilevel"/>
    <w:tmpl w:val="86A4A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5B13"/>
    <w:multiLevelType w:val="hybridMultilevel"/>
    <w:tmpl w:val="7D58F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6F2D"/>
    <w:multiLevelType w:val="hybridMultilevel"/>
    <w:tmpl w:val="DBACF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3FD1"/>
    <w:multiLevelType w:val="hybridMultilevel"/>
    <w:tmpl w:val="A3CA2D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F3D06"/>
    <w:multiLevelType w:val="hybridMultilevel"/>
    <w:tmpl w:val="3B524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7C01"/>
    <w:multiLevelType w:val="hybridMultilevel"/>
    <w:tmpl w:val="ED78C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E"/>
    <w:rsid w:val="00021677"/>
    <w:rsid w:val="00073E21"/>
    <w:rsid w:val="00082A99"/>
    <w:rsid w:val="000A4509"/>
    <w:rsid w:val="000C5A17"/>
    <w:rsid w:val="000C70A4"/>
    <w:rsid w:val="000D53E6"/>
    <w:rsid w:val="000F7353"/>
    <w:rsid w:val="00100201"/>
    <w:rsid w:val="00135F55"/>
    <w:rsid w:val="001421EB"/>
    <w:rsid w:val="0014641C"/>
    <w:rsid w:val="00161944"/>
    <w:rsid w:val="00185A42"/>
    <w:rsid w:val="001A7683"/>
    <w:rsid w:val="001D1019"/>
    <w:rsid w:val="001E23D2"/>
    <w:rsid w:val="00247F5A"/>
    <w:rsid w:val="00252748"/>
    <w:rsid w:val="002A0504"/>
    <w:rsid w:val="002A12C7"/>
    <w:rsid w:val="002A73B3"/>
    <w:rsid w:val="002B1CF0"/>
    <w:rsid w:val="002C67EC"/>
    <w:rsid w:val="002F35BE"/>
    <w:rsid w:val="00312DE0"/>
    <w:rsid w:val="00327081"/>
    <w:rsid w:val="0034116B"/>
    <w:rsid w:val="00390ADA"/>
    <w:rsid w:val="003A0E55"/>
    <w:rsid w:val="003B4E69"/>
    <w:rsid w:val="003B554D"/>
    <w:rsid w:val="003F7211"/>
    <w:rsid w:val="004327F0"/>
    <w:rsid w:val="00433757"/>
    <w:rsid w:val="004751E6"/>
    <w:rsid w:val="004B7CE0"/>
    <w:rsid w:val="004D6F1D"/>
    <w:rsid w:val="00500601"/>
    <w:rsid w:val="00515D59"/>
    <w:rsid w:val="00522F2D"/>
    <w:rsid w:val="0053234A"/>
    <w:rsid w:val="00535152"/>
    <w:rsid w:val="005850E9"/>
    <w:rsid w:val="005F45A3"/>
    <w:rsid w:val="00601C1E"/>
    <w:rsid w:val="00616B63"/>
    <w:rsid w:val="006406A9"/>
    <w:rsid w:val="00676DAB"/>
    <w:rsid w:val="00682560"/>
    <w:rsid w:val="00687C73"/>
    <w:rsid w:val="006938ED"/>
    <w:rsid w:val="006A0CAD"/>
    <w:rsid w:val="006D1F86"/>
    <w:rsid w:val="00700851"/>
    <w:rsid w:val="00795B5F"/>
    <w:rsid w:val="007A4D9B"/>
    <w:rsid w:val="007E495E"/>
    <w:rsid w:val="00803D19"/>
    <w:rsid w:val="008106C0"/>
    <w:rsid w:val="0081573E"/>
    <w:rsid w:val="00820558"/>
    <w:rsid w:val="008453D0"/>
    <w:rsid w:val="00902DA8"/>
    <w:rsid w:val="00933F2F"/>
    <w:rsid w:val="009416F4"/>
    <w:rsid w:val="00947979"/>
    <w:rsid w:val="009644C1"/>
    <w:rsid w:val="00973DC1"/>
    <w:rsid w:val="00983840"/>
    <w:rsid w:val="009970B5"/>
    <w:rsid w:val="00997E79"/>
    <w:rsid w:val="009F586B"/>
    <w:rsid w:val="00A366CA"/>
    <w:rsid w:val="00A404E8"/>
    <w:rsid w:val="00A92773"/>
    <w:rsid w:val="00AA104D"/>
    <w:rsid w:val="00B507CE"/>
    <w:rsid w:val="00B57CAA"/>
    <w:rsid w:val="00BF7466"/>
    <w:rsid w:val="00C02855"/>
    <w:rsid w:val="00C3420D"/>
    <w:rsid w:val="00C371F3"/>
    <w:rsid w:val="00C47884"/>
    <w:rsid w:val="00C61BEE"/>
    <w:rsid w:val="00C736A6"/>
    <w:rsid w:val="00C86CC3"/>
    <w:rsid w:val="00D50DE3"/>
    <w:rsid w:val="00D57CE8"/>
    <w:rsid w:val="00D91098"/>
    <w:rsid w:val="00DA0C03"/>
    <w:rsid w:val="00DD3A64"/>
    <w:rsid w:val="00DE4F58"/>
    <w:rsid w:val="00E41900"/>
    <w:rsid w:val="00E92305"/>
    <w:rsid w:val="00EA4952"/>
    <w:rsid w:val="00EB350D"/>
    <w:rsid w:val="00EE15C0"/>
    <w:rsid w:val="00F105FF"/>
    <w:rsid w:val="00F27A21"/>
    <w:rsid w:val="00F47737"/>
    <w:rsid w:val="00F77200"/>
    <w:rsid w:val="00FA18F8"/>
    <w:rsid w:val="00FF05FD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3E"/>
    <w:pPr>
      <w:spacing w:after="12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105F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C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08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8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F8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05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F105FF"/>
  </w:style>
  <w:style w:type="character" w:styleId="Lienhypertextesuivivisit">
    <w:name w:val="FollowedHyperlink"/>
    <w:basedOn w:val="Policepardfaut"/>
    <w:uiPriority w:val="99"/>
    <w:semiHidden/>
    <w:unhideWhenUsed/>
    <w:rsid w:val="00FF1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3E"/>
    <w:pPr>
      <w:spacing w:after="12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F105F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C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08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8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F8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105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F105FF"/>
  </w:style>
  <w:style w:type="character" w:styleId="Lienhypertextesuivivisit">
    <w:name w:val="FollowedHyperlink"/>
    <w:basedOn w:val="Policepardfaut"/>
    <w:uiPriority w:val="99"/>
    <w:semiHidden/>
    <w:unhideWhenUsed/>
    <w:rsid w:val="00FF1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AgS6s0Y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alitionclimat21.org/fr/contenu/campagne-de-mobi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21.gouv.fr/wp-content/uploads/2015/11/mosaique_campagn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2015-11-28T01:25:00Z</cp:lastPrinted>
  <dcterms:created xsi:type="dcterms:W3CDTF">2015-11-28T15:52:00Z</dcterms:created>
  <dcterms:modified xsi:type="dcterms:W3CDTF">2015-11-28T15:52:00Z</dcterms:modified>
</cp:coreProperties>
</file>